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24" w:rsidRDefault="00EA6E24" w:rsidP="00EA6E24">
      <w:pPr>
        <w:keepNext/>
        <w:spacing w:line="300" w:lineRule="atLeast"/>
        <w:outlineLvl w:val="0"/>
        <w:rPr>
          <w:rFonts w:ascii="David" w:hAnsi="David"/>
          <w:b/>
          <w:bCs/>
          <w:u w:val="single"/>
          <w:rtl/>
        </w:rPr>
      </w:pPr>
      <w:r>
        <w:rPr>
          <w:rFonts w:ascii="David" w:hAnsi="David" w:hint="cs"/>
          <w:b/>
          <w:bCs/>
          <w:u w:val="single"/>
          <w:rtl/>
        </w:rPr>
        <w:t>בבית המשפט המחוזי בירושלים</w:t>
      </w:r>
    </w:p>
    <w:p w:rsidR="00EA6E24" w:rsidRDefault="00EA6E24" w:rsidP="00EA6E24">
      <w:pPr>
        <w:keepNext/>
        <w:spacing w:line="300" w:lineRule="atLeast"/>
        <w:outlineLvl w:val="0"/>
        <w:rPr>
          <w:rFonts w:ascii="David" w:hAnsi="David"/>
          <w:b/>
          <w:bCs/>
          <w:u w:val="single"/>
        </w:rPr>
      </w:pPr>
      <w:r>
        <w:rPr>
          <w:rFonts w:ascii="David" w:hAnsi="David" w:hint="cs"/>
          <w:b/>
          <w:bCs/>
          <w:u w:val="single"/>
          <w:rtl/>
        </w:rPr>
        <w:t>בשבתו כבית משפט לעניינים מנהליים</w:t>
      </w:r>
      <w:r>
        <w:rPr>
          <w:rFonts w:ascii="David" w:hAnsi="David" w:hint="cs"/>
          <w:u w:val="single"/>
          <w:rtl/>
        </w:rPr>
        <w:t xml:space="preserve"> </w:t>
      </w:r>
      <w:r>
        <w:rPr>
          <w:rFonts w:ascii="David" w:hAnsi="David" w:hint="cs"/>
          <w:rtl/>
        </w:rPr>
        <w:tab/>
      </w:r>
      <w:r>
        <w:rPr>
          <w:rFonts w:ascii="David" w:hAnsi="David" w:hint="cs"/>
          <w:rtl/>
        </w:rPr>
        <w:tab/>
      </w:r>
      <w:r>
        <w:rPr>
          <w:rFonts w:ascii="David" w:hAnsi="David" w:hint="cs"/>
          <w:rtl/>
        </w:rPr>
        <w:tab/>
      </w:r>
      <w:r w:rsidRPr="00EA6E24">
        <w:rPr>
          <w:rFonts w:ascii="David" w:hAnsi="David"/>
          <w:b/>
          <w:bCs/>
          <w:rtl/>
        </w:rPr>
        <w:tab/>
      </w:r>
      <w:r w:rsidRPr="00EA6E24">
        <w:rPr>
          <w:rFonts w:ascii="David" w:hAnsi="David"/>
          <w:b/>
          <w:bCs/>
          <w:rtl/>
        </w:rPr>
        <w:tab/>
      </w:r>
      <w:r w:rsidRPr="00EA6E24">
        <w:rPr>
          <w:rFonts w:ascii="David" w:hAnsi="David"/>
          <w:b/>
          <w:bCs/>
          <w:rtl/>
        </w:rPr>
        <w:tab/>
      </w:r>
      <w:r>
        <w:rPr>
          <w:rFonts w:ascii="David" w:hAnsi="David" w:hint="cs"/>
          <w:b/>
          <w:bCs/>
          <w:u w:val="single"/>
          <w:rtl/>
        </w:rPr>
        <w:t xml:space="preserve">עת"מ 19/ </w:t>
      </w:r>
    </w:p>
    <w:p w:rsidR="00EA6E24" w:rsidRDefault="00EA6E24" w:rsidP="00EA6E24">
      <w:pPr>
        <w:spacing w:line="300" w:lineRule="atLeast"/>
        <w:rPr>
          <w:rFonts w:ascii="David" w:hAnsi="David"/>
          <w:b/>
          <w:bCs/>
          <w:rtl/>
        </w:rPr>
      </w:pPr>
      <w:r>
        <w:rPr>
          <w:rFonts w:ascii="David" w:hAnsi="David" w:hint="cs"/>
          <w:b/>
          <w:bCs/>
          <w:rtl/>
        </w:rPr>
        <w:tab/>
      </w:r>
      <w:r>
        <w:rPr>
          <w:rFonts w:ascii="David" w:hAnsi="David" w:hint="cs"/>
          <w:b/>
          <w:bCs/>
          <w:rtl/>
        </w:rPr>
        <w:tab/>
      </w:r>
      <w:r>
        <w:rPr>
          <w:rFonts w:ascii="David" w:hAnsi="David" w:hint="cs"/>
          <w:b/>
          <w:bCs/>
          <w:rtl/>
        </w:rPr>
        <w:tab/>
      </w:r>
      <w:r>
        <w:rPr>
          <w:rFonts w:ascii="David" w:hAnsi="David" w:hint="cs"/>
          <w:b/>
          <w:bCs/>
          <w:rtl/>
        </w:rPr>
        <w:tab/>
      </w:r>
    </w:p>
    <w:p w:rsidR="00EA6E24" w:rsidRDefault="00EA6E24" w:rsidP="00EA6E24">
      <w:pPr>
        <w:spacing w:line="300" w:lineRule="atLeast"/>
        <w:rPr>
          <w:rFonts w:ascii="David" w:hAnsi="David"/>
          <w:b/>
          <w:bCs/>
          <w:rtl/>
        </w:rPr>
      </w:pPr>
    </w:p>
    <w:p w:rsidR="00EA6E24" w:rsidRDefault="00EA6E24" w:rsidP="00EA6E24">
      <w:pPr>
        <w:keepNext/>
        <w:spacing w:line="300" w:lineRule="atLeast"/>
        <w:ind w:right="2192"/>
        <w:outlineLvl w:val="2"/>
        <w:rPr>
          <w:rFonts w:ascii="David" w:hAnsi="David"/>
          <w:b/>
          <w:bCs/>
        </w:rPr>
      </w:pPr>
      <w:r>
        <w:rPr>
          <w:rFonts w:hint="cs"/>
          <w:b/>
          <w:bCs/>
          <w:rtl/>
        </w:rPr>
        <w:t xml:space="preserve">                                   </w:t>
      </w:r>
      <w:r>
        <w:rPr>
          <w:rFonts w:ascii="David" w:hAnsi="David" w:hint="cs"/>
          <w:b/>
          <w:bCs/>
          <w:rtl/>
        </w:rPr>
        <w:t>רגבים, ע.ר. 580460319</w:t>
      </w:r>
    </w:p>
    <w:p w:rsidR="00EA6E24" w:rsidRDefault="00EA6E24" w:rsidP="00EA6E24">
      <w:pPr>
        <w:tabs>
          <w:tab w:val="right" w:pos="1276"/>
        </w:tabs>
        <w:bidi w:val="0"/>
        <w:spacing w:line="300" w:lineRule="atLeast"/>
        <w:ind w:left="1276"/>
        <w:jc w:val="right"/>
        <w:rPr>
          <w:rFonts w:ascii="Calibri" w:hAnsi="Calibri"/>
        </w:rPr>
      </w:pPr>
      <w:r>
        <w:rPr>
          <w:rFonts w:ascii="David" w:hAnsi="David" w:hint="cs"/>
          <w:rtl/>
        </w:rPr>
        <w:tab/>
        <w:t xml:space="preserve">                                   ע"י ב"כ עוה"ד אבי סגל ו/או יעל סינמון ו/או דוד סגל       </w:t>
      </w:r>
    </w:p>
    <w:p w:rsidR="00EA6E24" w:rsidRDefault="00EA6E24" w:rsidP="00EA6E24">
      <w:pPr>
        <w:bidi w:val="0"/>
        <w:spacing w:line="300" w:lineRule="atLeast"/>
        <w:ind w:left="1440" w:right="1826" w:firstLine="720"/>
        <w:jc w:val="right"/>
      </w:pPr>
      <w:r>
        <w:rPr>
          <w:rFonts w:ascii="David" w:hAnsi="David" w:hint="cs"/>
          <w:rtl/>
        </w:rPr>
        <w:t xml:space="preserve"> מרחוב טורא 32א, ימין משה, ירושלים, 9410232</w:t>
      </w:r>
    </w:p>
    <w:p w:rsidR="00EA6E24" w:rsidRDefault="00EA6E24" w:rsidP="00EA6E24">
      <w:pPr>
        <w:bidi w:val="0"/>
        <w:spacing w:line="300" w:lineRule="atLeast"/>
        <w:ind w:left="1440" w:right="1826" w:firstLine="720"/>
        <w:jc w:val="right"/>
        <w:rPr>
          <w:rFonts w:ascii="David" w:hAnsi="David"/>
        </w:rPr>
      </w:pPr>
      <w:r>
        <w:rPr>
          <w:rFonts w:ascii="David" w:hAnsi="David" w:hint="cs"/>
          <w:rtl/>
        </w:rPr>
        <w:t xml:space="preserve"> טל: 6333793- 02; פקס: 6333795- 02</w:t>
      </w:r>
    </w:p>
    <w:p w:rsidR="00EA6E24" w:rsidRDefault="00EA6E24" w:rsidP="00EA6E24">
      <w:pPr>
        <w:bidi w:val="0"/>
        <w:spacing w:line="300" w:lineRule="atLeast"/>
        <w:ind w:left="720" w:right="1826"/>
        <w:jc w:val="right"/>
        <w:rPr>
          <w:rtl/>
        </w:rPr>
      </w:pPr>
      <w:r>
        <w:rPr>
          <w:rFonts w:ascii="David" w:hAnsi="David" w:hint="cs"/>
          <w:b/>
          <w:bCs/>
          <w:u w:val="single"/>
          <w:rtl/>
        </w:rPr>
        <w:t>העותרת</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EA6E24" w:rsidRDefault="00EA6E24" w:rsidP="00EA6E24">
      <w:pPr>
        <w:keepNext/>
        <w:spacing w:line="300" w:lineRule="atLeast"/>
        <w:ind w:left="1408" w:right="1408" w:firstLine="1472"/>
        <w:jc w:val="both"/>
        <w:outlineLvl w:val="2"/>
        <w:rPr>
          <w:rFonts w:ascii="David" w:hAnsi="David"/>
          <w:b/>
          <w:bCs/>
          <w:sz w:val="36"/>
          <w:szCs w:val="36"/>
          <w:rtl/>
        </w:rPr>
      </w:pPr>
      <w:r>
        <w:rPr>
          <w:rFonts w:ascii="David" w:hAnsi="David" w:hint="cs"/>
          <w:b/>
          <w:bCs/>
          <w:sz w:val="36"/>
          <w:szCs w:val="36"/>
          <w:rtl/>
        </w:rPr>
        <w:t>נ ג ד</w:t>
      </w:r>
    </w:p>
    <w:p w:rsidR="00EA6E24" w:rsidRDefault="00EA6E24" w:rsidP="00EA6E24">
      <w:pPr>
        <w:keepNext/>
        <w:spacing w:line="300" w:lineRule="atLeast"/>
        <w:ind w:left="1800" w:right="1800"/>
        <w:outlineLvl w:val="2"/>
        <w:rPr>
          <w:rFonts w:ascii="David" w:hAnsi="David"/>
          <w:b/>
          <w:bCs/>
          <w:rtl/>
        </w:rPr>
      </w:pPr>
    </w:p>
    <w:p w:rsidR="00EA6E24" w:rsidRDefault="00EA6E24" w:rsidP="00EA6E24">
      <w:pPr>
        <w:keepNext/>
        <w:numPr>
          <w:ilvl w:val="0"/>
          <w:numId w:val="1"/>
        </w:numPr>
        <w:spacing w:line="300" w:lineRule="atLeast"/>
        <w:ind w:right="1800" w:hanging="298"/>
        <w:outlineLvl w:val="2"/>
        <w:rPr>
          <w:rFonts w:ascii="David" w:hAnsi="David"/>
          <w:b/>
          <w:bCs/>
        </w:rPr>
      </w:pPr>
      <w:r>
        <w:rPr>
          <w:rFonts w:ascii="David" w:hAnsi="David" w:hint="cs"/>
          <w:b/>
          <w:bCs/>
          <w:rtl/>
        </w:rPr>
        <w:t>שר הביטחון, מר בנימין נתניהו</w:t>
      </w:r>
    </w:p>
    <w:p w:rsidR="00EA6E24" w:rsidRDefault="00EA6E24" w:rsidP="00EA6E24">
      <w:pPr>
        <w:keepNext/>
        <w:numPr>
          <w:ilvl w:val="0"/>
          <w:numId w:val="1"/>
        </w:numPr>
        <w:spacing w:line="300" w:lineRule="atLeast"/>
        <w:ind w:right="1800" w:hanging="298"/>
        <w:outlineLvl w:val="2"/>
        <w:rPr>
          <w:rFonts w:ascii="David" w:hAnsi="David"/>
          <w:b/>
          <w:bCs/>
        </w:rPr>
      </w:pPr>
      <w:r>
        <w:rPr>
          <w:rFonts w:ascii="David" w:hAnsi="David" w:hint="cs"/>
          <w:b/>
          <w:bCs/>
          <w:rtl/>
        </w:rPr>
        <w:t>אלוף פיקוד המרכז, אלוף נדב פדן</w:t>
      </w:r>
    </w:p>
    <w:p w:rsidR="00EA6E24" w:rsidRDefault="00EA6E24" w:rsidP="00EA6E24">
      <w:pPr>
        <w:keepNext/>
        <w:numPr>
          <w:ilvl w:val="0"/>
          <w:numId w:val="1"/>
        </w:numPr>
        <w:spacing w:line="300" w:lineRule="atLeast"/>
        <w:ind w:right="1800" w:hanging="298"/>
        <w:outlineLvl w:val="2"/>
        <w:rPr>
          <w:rFonts w:ascii="David" w:hAnsi="David"/>
          <w:b/>
          <w:bCs/>
        </w:rPr>
      </w:pPr>
      <w:r>
        <w:rPr>
          <w:rFonts w:ascii="David" w:hAnsi="David" w:hint="cs"/>
          <w:b/>
          <w:bCs/>
          <w:rtl/>
        </w:rPr>
        <w:t>ראש המנהל האזרחי, תא"ל אחוות בן חור</w:t>
      </w:r>
    </w:p>
    <w:p w:rsidR="00EA6E24" w:rsidRPr="00133BC7" w:rsidRDefault="00EA6E24" w:rsidP="00EA6E24">
      <w:pPr>
        <w:pStyle w:val="a7"/>
        <w:keepNext/>
        <w:spacing w:line="300" w:lineRule="atLeast"/>
        <w:ind w:left="1800" w:right="1800"/>
        <w:outlineLvl w:val="2"/>
        <w:rPr>
          <w:rFonts w:ascii="David" w:hAnsi="David"/>
          <w:b/>
          <w:bCs/>
        </w:rPr>
      </w:pPr>
      <w:r w:rsidRPr="00133BC7">
        <w:rPr>
          <w:rFonts w:ascii="David" w:hAnsi="David" w:hint="cs"/>
          <w:rtl/>
        </w:rPr>
        <w:t>כולם באמצעות פרקליטות המדינה, משרד המשפטים</w:t>
      </w:r>
    </w:p>
    <w:p w:rsidR="00EA6E24" w:rsidRPr="00133BC7" w:rsidRDefault="00EA6E24" w:rsidP="00EA6E24">
      <w:pPr>
        <w:pStyle w:val="a7"/>
        <w:keepNext/>
        <w:spacing w:line="300" w:lineRule="atLeast"/>
        <w:ind w:left="1800" w:right="1800"/>
        <w:outlineLvl w:val="2"/>
        <w:rPr>
          <w:rFonts w:ascii="David" w:hAnsi="David"/>
          <w:rtl/>
        </w:rPr>
      </w:pPr>
      <w:r w:rsidRPr="00133BC7">
        <w:rPr>
          <w:rFonts w:ascii="David" w:hAnsi="David" w:hint="cs"/>
          <w:rtl/>
        </w:rPr>
        <w:t>רח'</w:t>
      </w:r>
      <w:r>
        <w:rPr>
          <w:rFonts w:hint="cs"/>
          <w:rtl/>
        </w:rPr>
        <w:t xml:space="preserve"> צאלח א-דין 29, ירושלים 91010</w:t>
      </w:r>
      <w:r w:rsidRPr="00133BC7">
        <w:rPr>
          <w:rFonts w:ascii="David" w:hAnsi="David" w:hint="cs"/>
          <w:rtl/>
        </w:rPr>
        <w:tab/>
      </w:r>
    </w:p>
    <w:p w:rsidR="00EA6E24" w:rsidRDefault="00EA6E24" w:rsidP="00EA6E24">
      <w:pPr>
        <w:keepNext/>
        <w:spacing w:line="300" w:lineRule="atLeast"/>
        <w:ind w:left="1800" w:right="1800"/>
        <w:outlineLvl w:val="2"/>
        <w:rPr>
          <w:rFonts w:ascii="David" w:hAnsi="David"/>
          <w:b/>
          <w:bCs/>
        </w:rPr>
      </w:pPr>
    </w:p>
    <w:p w:rsidR="00EA6E24" w:rsidRDefault="00897E04" w:rsidP="00EA6E24">
      <w:pPr>
        <w:keepNext/>
        <w:numPr>
          <w:ilvl w:val="0"/>
          <w:numId w:val="1"/>
        </w:numPr>
        <w:spacing w:line="300" w:lineRule="atLeast"/>
        <w:ind w:right="1800" w:hanging="298"/>
        <w:outlineLvl w:val="2"/>
        <w:rPr>
          <w:rFonts w:ascii="David" w:hAnsi="David" w:hint="cs"/>
          <w:b/>
          <w:bCs/>
        </w:rPr>
      </w:pPr>
      <w:r>
        <w:rPr>
          <w:rFonts w:ascii="David" w:hAnsi="David" w:hint="cs"/>
          <w:b/>
          <w:bCs/>
          <w:rtl/>
        </w:rPr>
        <w:t>נור מטרי</w:t>
      </w:r>
    </w:p>
    <w:p w:rsidR="00897E04" w:rsidRPr="00897E04" w:rsidRDefault="00897E04" w:rsidP="00897E04">
      <w:pPr>
        <w:keepNext/>
        <w:spacing w:line="300" w:lineRule="atLeast"/>
        <w:ind w:left="1800" w:right="1800"/>
        <w:outlineLvl w:val="2"/>
        <w:rPr>
          <w:rFonts w:ascii="David" w:hAnsi="David" w:hint="cs"/>
          <w:rtl/>
        </w:rPr>
      </w:pPr>
      <w:r w:rsidRPr="00897E04">
        <w:rPr>
          <w:rFonts w:ascii="David" w:hAnsi="David" w:hint="cs"/>
          <w:rtl/>
        </w:rPr>
        <w:t>ע"י ב"כ עוה"ד שאער איליא</w:t>
      </w:r>
    </w:p>
    <w:p w:rsidR="00897E04" w:rsidRPr="00897E04" w:rsidRDefault="00897E04" w:rsidP="00897E04">
      <w:pPr>
        <w:keepNext/>
        <w:spacing w:line="300" w:lineRule="atLeast"/>
        <w:ind w:left="1800" w:right="1800"/>
        <w:outlineLvl w:val="2"/>
        <w:rPr>
          <w:rFonts w:ascii="David" w:hAnsi="David" w:hint="cs"/>
          <w:rtl/>
        </w:rPr>
      </w:pPr>
      <w:r w:rsidRPr="00897E04">
        <w:rPr>
          <w:rFonts w:ascii="David" w:hAnsi="David" w:hint="cs"/>
          <w:rtl/>
        </w:rPr>
        <w:t>בית הכרם, ת.ד. 3077, ירושלים 91030</w:t>
      </w:r>
    </w:p>
    <w:p w:rsidR="00897E04" w:rsidRPr="00897E04" w:rsidRDefault="00897E04" w:rsidP="00897E04">
      <w:pPr>
        <w:keepNext/>
        <w:spacing w:line="300" w:lineRule="atLeast"/>
        <w:ind w:left="1800" w:right="1800"/>
        <w:outlineLvl w:val="2"/>
        <w:rPr>
          <w:rFonts w:ascii="David" w:hAnsi="David" w:hint="cs"/>
          <w:rtl/>
        </w:rPr>
      </w:pPr>
      <w:r w:rsidRPr="00897E04">
        <w:rPr>
          <w:rFonts w:ascii="David" w:hAnsi="David" w:hint="cs"/>
          <w:rtl/>
        </w:rPr>
        <w:t xml:space="preserve">טל: 6541161- 02; </w:t>
      </w:r>
    </w:p>
    <w:p w:rsidR="00897E04" w:rsidRPr="00897E04" w:rsidRDefault="00897E04" w:rsidP="00897E04">
      <w:pPr>
        <w:keepNext/>
        <w:spacing w:line="300" w:lineRule="atLeast"/>
        <w:ind w:left="1800" w:right="1800"/>
        <w:outlineLvl w:val="2"/>
        <w:rPr>
          <w:rFonts w:ascii="David" w:hAnsi="David"/>
          <w:b/>
          <w:bCs/>
        </w:rPr>
      </w:pPr>
    </w:p>
    <w:p w:rsidR="00EA6E24" w:rsidRDefault="00EA6E24" w:rsidP="00EA6E24">
      <w:pPr>
        <w:keepNext/>
        <w:numPr>
          <w:ilvl w:val="0"/>
          <w:numId w:val="1"/>
        </w:numPr>
        <w:spacing w:line="300" w:lineRule="atLeast"/>
        <w:ind w:right="1800" w:hanging="298"/>
        <w:outlineLvl w:val="2"/>
        <w:rPr>
          <w:rFonts w:ascii="David" w:hAnsi="David"/>
          <w:b/>
          <w:bCs/>
        </w:rPr>
      </w:pPr>
      <w:r>
        <w:rPr>
          <w:rFonts w:ascii="David" w:hAnsi="David" w:hint="cs"/>
          <w:b/>
          <w:bCs/>
          <w:rtl/>
        </w:rPr>
        <w:t xml:space="preserve">פלוני, המחזיק בתחנת השטיפה </w:t>
      </w:r>
      <w:r>
        <w:rPr>
          <w:rFonts w:ascii="David" w:hAnsi="David"/>
          <w:b/>
          <w:bCs/>
          <w:rtl/>
        </w:rPr>
        <w:t>–</w:t>
      </w:r>
      <w:r>
        <w:rPr>
          <w:rFonts w:ascii="David" w:hAnsi="David" w:hint="cs"/>
          <w:b/>
          <w:bCs/>
          <w:rtl/>
        </w:rPr>
        <w:t xml:space="preserve"> "שטיפת 2000"</w:t>
      </w:r>
    </w:p>
    <w:p w:rsidR="00EA6E24" w:rsidRPr="00936C95" w:rsidRDefault="00EA6E24" w:rsidP="00EA6E24">
      <w:pPr>
        <w:keepNext/>
        <w:spacing w:line="300" w:lineRule="atLeast"/>
        <w:ind w:left="1800" w:right="1800"/>
        <w:outlineLvl w:val="2"/>
        <w:rPr>
          <w:rFonts w:ascii="David" w:hAnsi="David"/>
          <w:b/>
          <w:bCs/>
          <w:rtl/>
        </w:rPr>
      </w:pPr>
      <w:r>
        <w:rPr>
          <w:rFonts w:hint="cs"/>
          <w:rtl/>
        </w:rPr>
        <w:t>גבעון החדשה</w:t>
      </w:r>
    </w:p>
    <w:p w:rsidR="00EA6E24" w:rsidRDefault="00EA6E24" w:rsidP="00EA6E24">
      <w:pPr>
        <w:spacing w:line="300" w:lineRule="atLeast"/>
        <w:rPr>
          <w:rFonts w:ascii="David" w:hAnsi="David"/>
          <w:b/>
          <w:bCs/>
          <w:u w:val="single"/>
        </w:rPr>
      </w:pPr>
      <w:r>
        <w:rPr>
          <w:rFonts w:ascii="David" w:hAnsi="David" w:hint="cs"/>
          <w:rtl/>
        </w:rPr>
        <w:tab/>
      </w:r>
      <w:r>
        <w:rPr>
          <w:rFonts w:ascii="David" w:hAnsi="David" w:hint="cs"/>
          <w:rtl/>
        </w:rPr>
        <w:tab/>
      </w:r>
      <w:r>
        <w:rPr>
          <w:rFonts w:ascii="David" w:hAnsi="David" w:hint="cs"/>
          <w:rtl/>
        </w:rPr>
        <w:tab/>
      </w:r>
      <w:r>
        <w:rPr>
          <w:rFonts w:ascii="David" w:hAnsi="David" w:hint="cs"/>
          <w:rtl/>
        </w:rPr>
        <w:tab/>
      </w:r>
      <w:r>
        <w:rPr>
          <w:rFonts w:ascii="David" w:hAnsi="David" w:hint="cs"/>
          <w:rtl/>
        </w:rPr>
        <w:tab/>
      </w:r>
      <w:r>
        <w:rPr>
          <w:rFonts w:ascii="David" w:hAnsi="David" w:hint="cs"/>
          <w:rtl/>
        </w:rPr>
        <w:tab/>
      </w:r>
      <w:r>
        <w:rPr>
          <w:rFonts w:ascii="David" w:hAnsi="David" w:hint="cs"/>
          <w:rtl/>
        </w:rPr>
        <w:tab/>
      </w:r>
      <w:r>
        <w:rPr>
          <w:rFonts w:ascii="David" w:hAnsi="David" w:hint="cs"/>
          <w:rtl/>
        </w:rPr>
        <w:tab/>
      </w:r>
      <w:r>
        <w:rPr>
          <w:rFonts w:ascii="David" w:hAnsi="David" w:hint="cs"/>
          <w:rtl/>
        </w:rPr>
        <w:tab/>
      </w:r>
      <w:r>
        <w:rPr>
          <w:rFonts w:ascii="David" w:hAnsi="David" w:hint="cs"/>
          <w:b/>
          <w:bCs/>
          <w:rtl/>
        </w:rPr>
        <w:t xml:space="preserve">        </w:t>
      </w:r>
      <w:r>
        <w:rPr>
          <w:rFonts w:ascii="David" w:hAnsi="David" w:hint="cs"/>
          <w:b/>
          <w:bCs/>
          <w:u w:val="single"/>
          <w:rtl/>
        </w:rPr>
        <w:t>המשיבים</w:t>
      </w:r>
    </w:p>
    <w:p w:rsidR="00EA6E24" w:rsidRDefault="00EA6E24" w:rsidP="00EA6E24">
      <w:pPr>
        <w:keepNext/>
        <w:spacing w:line="300" w:lineRule="atLeast"/>
        <w:outlineLvl w:val="4"/>
        <w:rPr>
          <w:rFonts w:ascii="David" w:hAnsi="David"/>
          <w:b/>
          <w:bCs/>
          <w:u w:val="single"/>
          <w:rtl/>
        </w:rPr>
      </w:pPr>
    </w:p>
    <w:p w:rsidR="00EA6E24" w:rsidRDefault="00EA6E24" w:rsidP="00EA6E24">
      <w:pPr>
        <w:keepNext/>
        <w:spacing w:line="300" w:lineRule="atLeast"/>
        <w:outlineLvl w:val="4"/>
        <w:rPr>
          <w:rFonts w:ascii="David" w:hAnsi="David"/>
          <w:b/>
          <w:bCs/>
          <w:u w:val="single"/>
          <w:rtl/>
        </w:rPr>
      </w:pPr>
    </w:p>
    <w:p w:rsidR="00EA6E24" w:rsidRDefault="00EA6E24" w:rsidP="00EA6E24">
      <w:pPr>
        <w:keepNext/>
        <w:spacing w:after="240" w:line="300" w:lineRule="atLeast"/>
        <w:jc w:val="center"/>
        <w:outlineLvl w:val="4"/>
        <w:rPr>
          <w:rFonts w:ascii="David" w:hAnsi="David"/>
          <w:b/>
          <w:bCs/>
          <w:sz w:val="44"/>
          <w:szCs w:val="44"/>
          <w:u w:val="single"/>
          <w:rtl/>
        </w:rPr>
      </w:pPr>
      <w:bookmarkStart w:id="0" w:name="PsakDin"/>
      <w:r>
        <w:rPr>
          <w:rFonts w:ascii="David" w:hAnsi="David" w:hint="cs"/>
          <w:b/>
          <w:bCs/>
          <w:sz w:val="44"/>
          <w:szCs w:val="44"/>
          <w:u w:val="single"/>
          <w:rtl/>
        </w:rPr>
        <w:t xml:space="preserve">עתירה למתן צו על תנאי </w:t>
      </w:r>
      <w:bookmarkEnd w:id="0"/>
      <w:r>
        <w:rPr>
          <w:rFonts w:ascii="David" w:hAnsi="David" w:hint="cs"/>
          <w:b/>
          <w:bCs/>
          <w:sz w:val="44"/>
          <w:szCs w:val="44"/>
          <w:u w:val="single"/>
          <w:rtl/>
        </w:rPr>
        <w:t>צו ביניים וצו ארעי</w:t>
      </w:r>
    </w:p>
    <w:p w:rsidR="00EA6E24" w:rsidRDefault="00EA6E24" w:rsidP="00EA6E24">
      <w:pPr>
        <w:spacing w:line="300" w:lineRule="atLeast"/>
        <w:rPr>
          <w:rtl/>
        </w:rPr>
      </w:pPr>
    </w:p>
    <w:p w:rsidR="00EA6E24" w:rsidRDefault="00EA6E24" w:rsidP="00810CC7">
      <w:pPr>
        <w:spacing w:after="240" w:line="300" w:lineRule="atLeast"/>
        <w:jc w:val="both"/>
        <w:rPr>
          <w:b/>
          <w:bCs/>
          <w:rtl/>
        </w:rPr>
      </w:pPr>
      <w:r>
        <w:rPr>
          <w:rFonts w:hint="cs"/>
          <w:b/>
          <w:bCs/>
          <w:rtl/>
        </w:rPr>
        <w:t>זוהי עתירה למתן צו על תנאי לפיה יתבקש בית המשפט הנכבד להורות למשיבים 1-3 (להלן: "המשיבים") לנמק מדוע אינם נוקטים בכל הפעולות הנדרשות לשם הוצאה ומימוש של צווי הפסקת עבודה והריסה ביחס לש</w:t>
      </w:r>
      <w:r w:rsidR="00810CC7">
        <w:rPr>
          <w:rFonts w:hint="cs"/>
          <w:b/>
          <w:bCs/>
          <w:rtl/>
        </w:rPr>
        <w:t>ני</w:t>
      </w:r>
      <w:r>
        <w:rPr>
          <w:rFonts w:hint="cs"/>
          <w:b/>
          <w:bCs/>
          <w:rtl/>
        </w:rPr>
        <w:t xml:space="preserve"> מבני</w:t>
      </w:r>
      <w:r w:rsidR="00810CC7">
        <w:rPr>
          <w:rFonts w:hint="cs"/>
          <w:b/>
          <w:bCs/>
          <w:rtl/>
        </w:rPr>
        <w:t xml:space="preserve"> </w:t>
      </w:r>
      <w:r>
        <w:rPr>
          <w:rFonts w:hint="cs"/>
          <w:b/>
          <w:bCs/>
          <w:rtl/>
        </w:rPr>
        <w:t>עסקים המשמשים כמוסך ותחנ</w:t>
      </w:r>
      <w:r w:rsidR="00810CC7">
        <w:rPr>
          <w:rFonts w:hint="cs"/>
          <w:b/>
          <w:bCs/>
          <w:rtl/>
        </w:rPr>
        <w:t>ה</w:t>
      </w:r>
      <w:r>
        <w:rPr>
          <w:rFonts w:hint="cs"/>
          <w:b/>
          <w:bCs/>
          <w:rtl/>
        </w:rPr>
        <w:t xml:space="preserve"> לשטיפת רכבים </w:t>
      </w:r>
      <w:r w:rsidR="004E5BE3">
        <w:rPr>
          <w:rFonts w:hint="cs"/>
          <w:b/>
          <w:bCs/>
          <w:rtl/>
        </w:rPr>
        <w:t>הממוקמים על ציר הגישה לישוב גב</w:t>
      </w:r>
      <w:r w:rsidR="003E02A3">
        <w:rPr>
          <w:rFonts w:hint="cs"/>
          <w:b/>
          <w:bCs/>
          <w:rtl/>
        </w:rPr>
        <w:t>ע</w:t>
      </w:r>
      <w:r w:rsidR="004E5BE3">
        <w:rPr>
          <w:rFonts w:hint="cs"/>
          <w:b/>
          <w:bCs/>
          <w:rtl/>
        </w:rPr>
        <w:t>ון החדשה שבבנימין</w:t>
      </w:r>
      <w:r>
        <w:rPr>
          <w:rFonts w:hint="cs"/>
          <w:b/>
          <w:bCs/>
          <w:rtl/>
        </w:rPr>
        <w:t>, אשר נבנו ללא היתרים ובניגוד לכל דין, ע"י המשיבים 4-</w:t>
      </w:r>
      <w:r w:rsidR="00810CC7">
        <w:rPr>
          <w:rFonts w:hint="cs"/>
          <w:b/>
          <w:bCs/>
          <w:rtl/>
        </w:rPr>
        <w:t>5</w:t>
      </w:r>
      <w:r>
        <w:rPr>
          <w:rFonts w:hint="cs"/>
          <w:b/>
          <w:bCs/>
          <w:rtl/>
        </w:rPr>
        <w:t xml:space="preserve">, עברייני הבניה, ו/או מי מטעמם. </w:t>
      </w:r>
    </w:p>
    <w:p w:rsidR="004E5BE3" w:rsidRDefault="004E5BE3" w:rsidP="00EA6E24">
      <w:pPr>
        <w:spacing w:after="240" w:line="300" w:lineRule="atLeast"/>
        <w:jc w:val="both"/>
        <w:rPr>
          <w:b/>
          <w:bCs/>
          <w:rtl/>
        </w:rPr>
      </w:pPr>
      <w:r>
        <w:rPr>
          <w:rFonts w:hint="cs"/>
          <w:b/>
          <w:bCs/>
          <w:rtl/>
        </w:rPr>
        <w:t>כן יתבקש בית המשפט הנכבד להורות למשיבים לנמק מדוע אינם נוקטים בהליכים פליליים כנגד עברייני הבניה, אשר בנו את המבנים הבלתי חוקיים.</w:t>
      </w:r>
    </w:p>
    <w:p w:rsidR="00EA6E24" w:rsidRDefault="00EA6E24" w:rsidP="00810CC7">
      <w:pPr>
        <w:spacing w:after="240" w:line="300" w:lineRule="atLeast"/>
        <w:jc w:val="both"/>
        <w:rPr>
          <w:b/>
          <w:bCs/>
          <w:rtl/>
        </w:rPr>
      </w:pPr>
      <w:r>
        <w:rPr>
          <w:rFonts w:hint="cs"/>
          <w:b/>
          <w:bCs/>
          <w:rtl/>
        </w:rPr>
        <w:t>זוהי גם עתירה למתן צו ביניים במסגרתה יתבקש בית המשפט הנכבד להורות למשיבים 4-</w:t>
      </w:r>
      <w:r w:rsidR="00810CC7">
        <w:rPr>
          <w:rFonts w:hint="cs"/>
          <w:b/>
          <w:bCs/>
          <w:rtl/>
        </w:rPr>
        <w:t>5</w:t>
      </w:r>
      <w:r>
        <w:rPr>
          <w:rFonts w:hint="cs"/>
          <w:b/>
          <w:bCs/>
          <w:rtl/>
        </w:rPr>
        <w:t xml:space="preserve">  ו/או למי מטעמם, לנקוט מידית וללא דיחוי בכל הפעולות הנדרשות כדי למנוע את השימוש בבתי העסק הבלתי חוקיים, ולנקוט בפעולות מידיות לשם עצירת המשך הפעלת העסקים הבלתי חוקיים, והכל עד למתן פסק דין סופי בעתירה זו. </w:t>
      </w:r>
    </w:p>
    <w:p w:rsidR="00EA6E24" w:rsidRDefault="00EA6E24" w:rsidP="00810CC7">
      <w:pPr>
        <w:spacing w:after="240" w:line="300" w:lineRule="atLeast"/>
        <w:jc w:val="both"/>
        <w:rPr>
          <w:b/>
          <w:bCs/>
          <w:rtl/>
        </w:rPr>
      </w:pPr>
      <w:r>
        <w:rPr>
          <w:rFonts w:hint="cs"/>
          <w:b/>
          <w:bCs/>
          <w:rtl/>
        </w:rPr>
        <w:t xml:space="preserve">לאור הסיכון הבטיחותי העצום הכרוך במיקום מבני העסקים הבלתי חוקיים בצמוד </w:t>
      </w:r>
      <w:r w:rsidR="004E5BE3">
        <w:rPr>
          <w:rFonts w:hint="cs"/>
          <w:b/>
          <w:bCs/>
          <w:rtl/>
        </w:rPr>
        <w:t>לציר הגישה לישוב גבעון החדשה</w:t>
      </w:r>
      <w:r>
        <w:rPr>
          <w:rFonts w:hint="cs"/>
          <w:b/>
          <w:bCs/>
          <w:rtl/>
        </w:rPr>
        <w:t>, ועל מנת למנוע התרחשותן של תאונות דרכים במקום ופגיעה בחיי אדם, יתבקש בית המשפט הנכבד להוציא מלפניו בדחיפות צו ארעי כנגד המשיבים 4-</w:t>
      </w:r>
      <w:r w:rsidR="00810CC7">
        <w:rPr>
          <w:rFonts w:hint="cs"/>
          <w:b/>
          <w:bCs/>
          <w:rtl/>
        </w:rPr>
        <w:t>5</w:t>
      </w:r>
      <w:r>
        <w:rPr>
          <w:rFonts w:hint="cs"/>
          <w:b/>
          <w:bCs/>
          <w:rtl/>
        </w:rPr>
        <w:t xml:space="preserve"> ו/או מי מטעמם המורה להם להימנע מהמשך הפעלת העסקים והשימוש במבנים הבלתי חוקיים</w:t>
      </w:r>
      <w:r w:rsidRPr="003A0430">
        <w:rPr>
          <w:rFonts w:hint="cs"/>
          <w:b/>
          <w:bCs/>
          <w:rtl/>
        </w:rPr>
        <w:t>, וזאת עד למתן הכרעה בבקשה למתן צו ביניים כמבוקש.</w:t>
      </w:r>
    </w:p>
    <w:p w:rsidR="00EA6E24" w:rsidRDefault="00EA6E24" w:rsidP="00EA6E24">
      <w:pPr>
        <w:spacing w:line="300" w:lineRule="atLeast"/>
        <w:jc w:val="both"/>
        <w:rPr>
          <w:b/>
          <w:bCs/>
          <w:rtl/>
        </w:rPr>
      </w:pPr>
      <w:r>
        <w:rPr>
          <w:rFonts w:hint="cs"/>
          <w:b/>
          <w:bCs/>
          <w:rtl/>
        </w:rPr>
        <w:t>בנוסף, יתבקש בית המשפט הנכבד להורות למשיבים למסור לעותרת ללא דיחוי את פרטי העבריינים המחזיקים במבני העסק הבלתי חוקיים על מנת שניתן יהיה לצרפם כמשיבים לעתירה.</w:t>
      </w:r>
    </w:p>
    <w:p w:rsidR="00EA6E24" w:rsidRDefault="00EA6E24" w:rsidP="00EA6E24">
      <w:pPr>
        <w:spacing w:line="300" w:lineRule="atLeast"/>
        <w:jc w:val="both"/>
        <w:rPr>
          <w:b/>
          <w:bCs/>
          <w:rtl/>
        </w:rPr>
      </w:pPr>
    </w:p>
    <w:p w:rsidR="00EA6E24" w:rsidRDefault="00EA6E24" w:rsidP="00EA6E24">
      <w:pPr>
        <w:spacing w:before="240" w:after="240" w:line="300" w:lineRule="atLeast"/>
        <w:jc w:val="both"/>
        <w:rPr>
          <w:b/>
          <w:bCs/>
          <w:sz w:val="28"/>
          <w:szCs w:val="28"/>
          <w:u w:val="single"/>
          <w:rtl/>
        </w:rPr>
      </w:pPr>
      <w:r>
        <w:rPr>
          <w:rFonts w:hint="cs"/>
          <w:b/>
          <w:bCs/>
          <w:sz w:val="28"/>
          <w:szCs w:val="28"/>
          <w:u w:val="single"/>
          <w:rtl/>
        </w:rPr>
        <w:t>ואלו נימוקי העתירה:</w:t>
      </w:r>
    </w:p>
    <w:p w:rsidR="00EA6E24" w:rsidRDefault="00EA6E24" w:rsidP="00EA6E24">
      <w:pPr>
        <w:spacing w:before="240" w:after="240" w:line="300" w:lineRule="atLeast"/>
        <w:jc w:val="both"/>
        <w:rPr>
          <w:b/>
          <w:bCs/>
          <w:sz w:val="28"/>
          <w:szCs w:val="28"/>
          <w:u w:val="single"/>
          <w:rtl/>
        </w:rPr>
      </w:pPr>
    </w:p>
    <w:p w:rsidR="00EA6E24" w:rsidRDefault="00EA6E24" w:rsidP="00EA6E24">
      <w:pPr>
        <w:numPr>
          <w:ilvl w:val="0"/>
          <w:numId w:val="2"/>
        </w:numPr>
        <w:tabs>
          <w:tab w:val="num" w:pos="566"/>
        </w:tabs>
        <w:spacing w:before="240" w:after="240" w:line="300" w:lineRule="atLeast"/>
        <w:ind w:left="567" w:right="1077" w:hanging="539"/>
        <w:jc w:val="both"/>
        <w:rPr>
          <w:b/>
          <w:bCs/>
          <w:sz w:val="28"/>
          <w:szCs w:val="28"/>
          <w:rtl/>
        </w:rPr>
      </w:pPr>
      <w:r>
        <w:rPr>
          <w:rFonts w:hint="cs"/>
          <w:b/>
          <w:bCs/>
          <w:sz w:val="28"/>
          <w:szCs w:val="28"/>
          <w:rtl/>
        </w:rPr>
        <w:t>מבוא – כללי:</w:t>
      </w:r>
    </w:p>
    <w:p w:rsidR="00EA6E24" w:rsidRDefault="00EA6E24" w:rsidP="00EA6E24">
      <w:pPr>
        <w:spacing w:line="300" w:lineRule="atLeast"/>
        <w:ind w:left="26"/>
        <w:jc w:val="both"/>
        <w:rPr>
          <w:b/>
          <w:bCs/>
          <w:rtl/>
        </w:rPr>
      </w:pPr>
      <w:r>
        <w:rPr>
          <w:rFonts w:hint="cs"/>
          <w:b/>
          <w:bCs/>
          <w:rtl/>
        </w:rPr>
        <w:t>עניינה של עתירה זו, במעשיהם ובמחדליהם של המשיבים. המשיבים פועלים בניגוד לדין ותוך חריגה ניכרת מכל אמת מידה מקובלת של התנהגות ציבורית ומנהל תקין</w:t>
      </w:r>
      <w:r>
        <w:rPr>
          <w:rFonts w:hint="cs"/>
          <w:rtl/>
        </w:rPr>
        <w:t xml:space="preserve">, </w:t>
      </w:r>
      <w:r>
        <w:rPr>
          <w:rFonts w:hint="cs"/>
          <w:b/>
          <w:bCs/>
          <w:rtl/>
        </w:rPr>
        <w:t>תוך התעלמות מוחלטת מחובתם לאכוף את דיני התכנון והבנייה וכל דין אחר החל באזור.</w:t>
      </w:r>
    </w:p>
    <w:p w:rsidR="00EA6E24" w:rsidRDefault="00EA6E24" w:rsidP="00EA6E24">
      <w:pPr>
        <w:spacing w:line="300" w:lineRule="atLeast"/>
        <w:ind w:left="26"/>
        <w:jc w:val="both"/>
        <w:rPr>
          <w:b/>
          <w:bCs/>
          <w:rtl/>
        </w:rPr>
      </w:pPr>
    </w:p>
    <w:p w:rsidR="00EA6E24" w:rsidRDefault="00EA6E24" w:rsidP="00810CC7">
      <w:pPr>
        <w:spacing w:line="300" w:lineRule="atLeast"/>
        <w:ind w:left="26"/>
        <w:jc w:val="both"/>
        <w:rPr>
          <w:b/>
          <w:bCs/>
          <w:rtl/>
        </w:rPr>
      </w:pPr>
      <w:r>
        <w:rPr>
          <w:rFonts w:hint="cs"/>
          <w:b/>
          <w:bCs/>
          <w:rtl/>
        </w:rPr>
        <w:t xml:space="preserve">המשיבים אשר אחראים על בטחון הפנים והסדר הציבורי בשטחי </w:t>
      </w:r>
      <w:r>
        <w:rPr>
          <w:rFonts w:hint="cs"/>
          <w:b/>
          <w:bCs/>
        </w:rPr>
        <w:t>C</w:t>
      </w:r>
      <w:r>
        <w:rPr>
          <w:rFonts w:hint="cs"/>
          <w:b/>
          <w:bCs/>
          <w:rtl/>
        </w:rPr>
        <w:t>, ובפרט כלפי אזרחי מדינת ישראל, מתפרקים מחובתם ומאפשרים לבתי העסק שהוקמו ע"י המשיבים 4-</w:t>
      </w:r>
      <w:r w:rsidR="00810CC7">
        <w:rPr>
          <w:rFonts w:hint="cs"/>
          <w:b/>
          <w:bCs/>
          <w:rtl/>
        </w:rPr>
        <w:t>5</w:t>
      </w:r>
      <w:r>
        <w:rPr>
          <w:rFonts w:hint="cs"/>
          <w:b/>
          <w:bCs/>
          <w:rtl/>
        </w:rPr>
        <w:t xml:space="preserve"> ושפועלים ללא כל היתר ורישיון להמשיך את פעילותם הבלתי חוקית, חרף העובדה כי המשך פעילותם מסכנת חיי אדם בפועל ממש, כפי שיפורט בהמשך בהרחבה.</w:t>
      </w:r>
    </w:p>
    <w:p w:rsidR="00EA6E24" w:rsidRDefault="00EA6E24" w:rsidP="00EA6E24">
      <w:pPr>
        <w:spacing w:line="300" w:lineRule="atLeast"/>
        <w:ind w:left="26"/>
        <w:jc w:val="both"/>
        <w:rPr>
          <w:rtl/>
        </w:rPr>
      </w:pPr>
    </w:p>
    <w:p w:rsidR="00EA6E24" w:rsidRDefault="00EA6E24" w:rsidP="00EA6E24">
      <w:pPr>
        <w:spacing w:line="300" w:lineRule="atLeast"/>
        <w:ind w:left="26"/>
        <w:jc w:val="both"/>
        <w:rPr>
          <w:b/>
          <w:bCs/>
          <w:rtl/>
        </w:rPr>
      </w:pPr>
      <w:r>
        <w:rPr>
          <w:rFonts w:hint="cs"/>
          <w:b/>
          <w:bCs/>
          <w:rtl/>
        </w:rPr>
        <w:t xml:space="preserve">למען הסדר הטוב יובהר, כי עתירה זו מוגשת רק לאחר שהעותרת מיצתה את יתר ההליכים שעמדו לרשותה, ובכלל זה פניות חוזרות ונשנות שנעשו למשיבים </w:t>
      </w:r>
      <w:r>
        <w:rPr>
          <w:rFonts w:hint="cs"/>
          <w:b/>
          <w:bCs/>
          <w:u w:val="single"/>
          <w:rtl/>
        </w:rPr>
        <w:t>ושנענו באופן לאקוני ו/או ריקם</w:t>
      </w:r>
      <w:r>
        <w:rPr>
          <w:rFonts w:hint="cs"/>
          <w:b/>
          <w:bCs/>
          <w:rtl/>
        </w:rPr>
        <w:t xml:space="preserve">, זאת בניגוד להוראות החוק לתיקון סדרי מנהל (החלטות והנמקות), תשי"ט -1958.  </w:t>
      </w:r>
    </w:p>
    <w:p w:rsidR="00EA6E24" w:rsidRDefault="00EA6E24" w:rsidP="00EA6E24">
      <w:pPr>
        <w:spacing w:line="300" w:lineRule="atLeast"/>
        <w:jc w:val="both"/>
        <w:rPr>
          <w:rtl/>
        </w:rPr>
      </w:pPr>
    </w:p>
    <w:p w:rsidR="00EA6E24" w:rsidRDefault="00EA6E24" w:rsidP="00810CC7">
      <w:pPr>
        <w:keepNext/>
        <w:spacing w:line="300" w:lineRule="atLeast"/>
        <w:ind w:left="26"/>
        <w:jc w:val="both"/>
        <w:outlineLvl w:val="0"/>
        <w:rPr>
          <w:rFonts w:ascii="David" w:hAnsi="David"/>
          <w:b/>
          <w:bCs/>
          <w:rtl/>
        </w:rPr>
      </w:pPr>
      <w:r>
        <w:rPr>
          <w:rFonts w:ascii="David" w:hAnsi="David" w:hint="cs"/>
          <w:b/>
          <w:bCs/>
          <w:rtl/>
        </w:rPr>
        <w:t xml:space="preserve">בנסיבות אלו, ומשפניותיה של העותרת לא זכו לכלל מענה ו/או למענה לאקוני בלבד, ושעה </w:t>
      </w:r>
      <w:r>
        <w:rPr>
          <w:rFonts w:hint="cs"/>
          <w:b/>
          <w:bCs/>
          <w:rtl/>
        </w:rPr>
        <w:t>שמדיניות אי המעש של הרשויות בכל הנוגע להפר</w:t>
      </w:r>
      <w:r w:rsidR="00810CC7">
        <w:rPr>
          <w:rFonts w:hint="cs"/>
          <w:b/>
          <w:bCs/>
          <w:rtl/>
        </w:rPr>
        <w:t xml:space="preserve">ת </w:t>
      </w:r>
      <w:r>
        <w:rPr>
          <w:rFonts w:hint="cs"/>
          <w:b/>
          <w:bCs/>
          <w:rtl/>
        </w:rPr>
        <w:t>חוקי התכנון והבניה הביאה למצב שבאזור זה אין דין ואין דיין ואיש הישר בעיניו יעשה</w:t>
      </w:r>
      <w:r>
        <w:rPr>
          <w:rFonts w:ascii="David" w:hAnsi="David" w:hint="cs"/>
          <w:b/>
          <w:bCs/>
          <w:rtl/>
        </w:rPr>
        <w:t>, לא נותרה בידי העותרת כל ברירה, מלבד לפנות לבית המשפט הנכבד בגדרי עתירה זו.</w:t>
      </w:r>
    </w:p>
    <w:p w:rsidR="00EA6E24" w:rsidRDefault="00EA6E24" w:rsidP="00EA6E24">
      <w:pPr>
        <w:keepNext/>
        <w:spacing w:line="300" w:lineRule="atLeast"/>
        <w:ind w:left="26"/>
        <w:jc w:val="both"/>
        <w:outlineLvl w:val="0"/>
        <w:rPr>
          <w:rFonts w:ascii="David" w:hAnsi="David"/>
          <w:b/>
          <w:bCs/>
          <w:rtl/>
        </w:rPr>
      </w:pPr>
    </w:p>
    <w:p w:rsidR="00EA6E24" w:rsidRDefault="00EA6E24" w:rsidP="00EA6E24">
      <w:pPr>
        <w:keepNext/>
        <w:spacing w:line="300" w:lineRule="atLeast"/>
        <w:ind w:left="26"/>
        <w:jc w:val="both"/>
        <w:outlineLvl w:val="0"/>
        <w:rPr>
          <w:rFonts w:ascii="David" w:hAnsi="David"/>
          <w:b/>
          <w:bCs/>
          <w:rtl/>
        </w:rPr>
      </w:pPr>
      <w:r>
        <w:rPr>
          <w:rFonts w:ascii="David" w:hAnsi="David" w:hint="cs"/>
          <w:b/>
          <w:bCs/>
          <w:rtl/>
        </w:rPr>
        <w:t xml:space="preserve">העותרת תבקש להביא לתשומת לב בית המשפט הנכבד את העובדה כי המשיבים עשו להם לנוהג שלא לענות עניינית ו/או בכלל לפניות העותרת, זאת בניגוד להוראותיו הברורות של הדין, וכי רק לאחר שהעותרת נאלצת להגיש את עתירותיה, נחפזים המשיבים לפעול בעניין ולהגיש לבית המשפט הנכבד את תגובתם העניינית בהתאם. העותרת סבורה כי מן הראוי יהיה שבית המשפט הנכבד יתן משקל לעובדה זו בעת פסיקת ההוצאות בסיום ההליך.  </w:t>
      </w:r>
    </w:p>
    <w:p w:rsidR="00EA6E24" w:rsidRDefault="00EA6E24" w:rsidP="00EA6E24">
      <w:pPr>
        <w:spacing w:line="300" w:lineRule="atLeast"/>
        <w:jc w:val="both"/>
        <w:rPr>
          <w:b/>
          <w:bCs/>
          <w:sz w:val="28"/>
          <w:szCs w:val="28"/>
          <w:rtl/>
        </w:rPr>
      </w:pPr>
    </w:p>
    <w:p w:rsidR="00EA6E24" w:rsidRDefault="00EA6E24" w:rsidP="00EA6E24">
      <w:pPr>
        <w:spacing w:line="300" w:lineRule="atLeast"/>
        <w:jc w:val="both"/>
        <w:rPr>
          <w:b/>
          <w:bCs/>
          <w:sz w:val="28"/>
          <w:szCs w:val="28"/>
          <w:rtl/>
        </w:rPr>
      </w:pPr>
    </w:p>
    <w:p w:rsidR="00EA6E24" w:rsidRDefault="00EA6E24" w:rsidP="00EA6E24">
      <w:pPr>
        <w:numPr>
          <w:ilvl w:val="0"/>
          <w:numId w:val="2"/>
        </w:numPr>
        <w:tabs>
          <w:tab w:val="num" w:pos="566"/>
        </w:tabs>
        <w:spacing w:line="300" w:lineRule="atLeast"/>
        <w:ind w:left="566" w:hanging="540"/>
        <w:jc w:val="both"/>
        <w:rPr>
          <w:b/>
          <w:bCs/>
          <w:sz w:val="28"/>
          <w:szCs w:val="28"/>
        </w:rPr>
      </w:pPr>
      <w:r>
        <w:rPr>
          <w:rFonts w:hint="cs"/>
          <w:b/>
          <w:bCs/>
          <w:sz w:val="28"/>
          <w:szCs w:val="28"/>
          <w:rtl/>
        </w:rPr>
        <w:t>הצדדים לעתירה:</w:t>
      </w:r>
    </w:p>
    <w:p w:rsidR="00EA6E24" w:rsidRDefault="00EA6E24" w:rsidP="00EA6E24">
      <w:pPr>
        <w:spacing w:line="300" w:lineRule="atLeast"/>
      </w:pPr>
    </w:p>
    <w:p w:rsidR="00EA6E24" w:rsidRDefault="00EA6E24" w:rsidP="00EA6E24">
      <w:pPr>
        <w:numPr>
          <w:ilvl w:val="0"/>
          <w:numId w:val="3"/>
        </w:numPr>
        <w:spacing w:line="300" w:lineRule="atLeast"/>
        <w:jc w:val="both"/>
      </w:pPr>
      <w:r>
        <w:rPr>
          <w:rFonts w:hint="cs"/>
          <w:rtl/>
        </w:rPr>
        <w:t xml:space="preserve">העותרת הינה תנועה ציבורית, אשר שמה לה למטרה, בין היתר, לבדוק ולבקר את פעולת הרשויות המנהליות בדרך טיפולן בנושאי מדיניות קרקעית וסביבתית כך שיפעלו בהתאם לחוק ולכללי המנהל התקין (להלן: </w:t>
      </w:r>
      <w:r w:rsidRPr="008F3165">
        <w:rPr>
          <w:rFonts w:hint="cs"/>
          <w:b/>
          <w:bCs/>
          <w:rtl/>
        </w:rPr>
        <w:t>"העותרת"</w:t>
      </w:r>
      <w:r>
        <w:rPr>
          <w:rFonts w:hint="cs"/>
          <w:rtl/>
        </w:rPr>
        <w:t>).</w:t>
      </w:r>
    </w:p>
    <w:p w:rsidR="00EA6E24" w:rsidRDefault="00EA6E24" w:rsidP="00EA6E24">
      <w:pPr>
        <w:spacing w:line="300" w:lineRule="atLeast"/>
        <w:ind w:left="716"/>
        <w:jc w:val="both"/>
      </w:pPr>
    </w:p>
    <w:p w:rsidR="00EA6E24" w:rsidRDefault="00EA6E24" w:rsidP="00EA6E24">
      <w:pPr>
        <w:numPr>
          <w:ilvl w:val="0"/>
          <w:numId w:val="3"/>
        </w:numPr>
        <w:spacing w:line="300" w:lineRule="atLeast"/>
        <w:jc w:val="both"/>
      </w:pPr>
      <w:r>
        <w:rPr>
          <w:rFonts w:hint="cs"/>
          <w:rtl/>
        </w:rPr>
        <w:t xml:space="preserve">משיב מס' 1 הינו שר הביטחון של מדינת ישראל אשר מתוקף סמכותו מופקד הוא בין השאר על המנהל האזרחי ביו"ש, על שמירת הביטחון וביטחון הפנים ביו"ש, ועל שמירת הסדר הציבורי והחוק באזור, ובכלל זה אכיפת דיני התכנון והבניה וכל דין אחר. </w:t>
      </w:r>
    </w:p>
    <w:p w:rsidR="00EA6E24" w:rsidRDefault="00EA6E24" w:rsidP="00EA6E24">
      <w:pPr>
        <w:pStyle w:val="a7"/>
        <w:spacing w:line="300" w:lineRule="atLeast"/>
        <w:rPr>
          <w:rtl/>
        </w:rPr>
      </w:pPr>
    </w:p>
    <w:p w:rsidR="00EA6E24" w:rsidRDefault="00EA6E24" w:rsidP="00EA6E24">
      <w:pPr>
        <w:numPr>
          <w:ilvl w:val="0"/>
          <w:numId w:val="3"/>
        </w:numPr>
        <w:spacing w:line="300" w:lineRule="atLeast"/>
        <w:jc w:val="both"/>
      </w:pPr>
      <w:r>
        <w:rPr>
          <w:rFonts w:hint="cs"/>
          <w:rtl/>
        </w:rPr>
        <w:t>משיב מס' 2 הינו מפקד כוחות צה"ל ביו"ש ובידו מצויות כל סמכויות החקיקה והניהול באזור.</w:t>
      </w:r>
    </w:p>
    <w:p w:rsidR="00EA6E24" w:rsidRDefault="00EA6E24" w:rsidP="00EA6E24">
      <w:pPr>
        <w:pStyle w:val="a7"/>
        <w:spacing w:line="300" w:lineRule="atLeast"/>
        <w:rPr>
          <w:rtl/>
        </w:rPr>
      </w:pPr>
    </w:p>
    <w:p w:rsidR="00EA6E24" w:rsidRDefault="00EA6E24" w:rsidP="00EA6E24">
      <w:pPr>
        <w:numPr>
          <w:ilvl w:val="0"/>
          <w:numId w:val="3"/>
        </w:numPr>
        <w:spacing w:line="300" w:lineRule="atLeast"/>
        <w:jc w:val="both"/>
      </w:pPr>
      <w:r>
        <w:rPr>
          <w:rFonts w:hint="cs"/>
          <w:rtl/>
        </w:rPr>
        <w:t>משיב מס' 3 הינו ראש המנהל האזרחי אשר בידו מצויות סמכויות ניהול החיים האזרחיים ביו"ש, ובכלל זה בסמכותו ומחובתו לאכוף את חוקי התכנון והבניה החלים באזור.</w:t>
      </w:r>
    </w:p>
    <w:p w:rsidR="00EA6E24" w:rsidRDefault="00EA6E24" w:rsidP="00EA6E24">
      <w:pPr>
        <w:pStyle w:val="a7"/>
        <w:spacing w:line="300" w:lineRule="atLeast"/>
        <w:rPr>
          <w:rtl/>
        </w:rPr>
      </w:pPr>
    </w:p>
    <w:p w:rsidR="00897E04" w:rsidRDefault="00EA6E24" w:rsidP="00810CC7">
      <w:pPr>
        <w:numPr>
          <w:ilvl w:val="0"/>
          <w:numId w:val="3"/>
        </w:numPr>
        <w:spacing w:line="300" w:lineRule="atLeast"/>
        <w:jc w:val="both"/>
      </w:pPr>
      <w:r>
        <w:rPr>
          <w:rFonts w:hint="cs"/>
          <w:rtl/>
        </w:rPr>
        <w:t>משיב</w:t>
      </w:r>
      <w:r w:rsidR="00897E04">
        <w:rPr>
          <w:rFonts w:hint="cs"/>
          <w:rtl/>
        </w:rPr>
        <w:t xml:space="preserve"> מס' 4 הינו המחזיק במבנה הבלתי חוקי המשמש כמוסך, והידוע בכינויו כ- "המוסך של נור". </w:t>
      </w:r>
    </w:p>
    <w:p w:rsidR="00897E04" w:rsidRDefault="00897E04" w:rsidP="00897E04">
      <w:pPr>
        <w:pStyle w:val="a7"/>
        <w:rPr>
          <w:rFonts w:hint="cs"/>
          <w:rtl/>
        </w:rPr>
      </w:pPr>
    </w:p>
    <w:p w:rsidR="00EA6E24" w:rsidRDefault="00897E04" w:rsidP="00897E04">
      <w:pPr>
        <w:numPr>
          <w:ilvl w:val="0"/>
          <w:numId w:val="3"/>
        </w:numPr>
        <w:spacing w:line="300" w:lineRule="atLeast"/>
        <w:jc w:val="both"/>
      </w:pPr>
      <w:r>
        <w:rPr>
          <w:rFonts w:hint="cs"/>
          <w:rtl/>
        </w:rPr>
        <w:t>המשיב מס' 5, אשר זהותו אינה ידועה לעותרת, הינו המחזיק במבנה הבלתי חוקי</w:t>
      </w:r>
      <w:r w:rsidR="00EA6E24">
        <w:rPr>
          <w:rFonts w:hint="cs"/>
          <w:rtl/>
        </w:rPr>
        <w:t xml:space="preserve"> </w:t>
      </w:r>
      <w:r>
        <w:rPr>
          <w:rFonts w:hint="cs"/>
          <w:rtl/>
        </w:rPr>
        <w:t>המשמש כ</w:t>
      </w:r>
      <w:r w:rsidR="00810CC7">
        <w:rPr>
          <w:rFonts w:hint="cs"/>
          <w:rtl/>
        </w:rPr>
        <w:t>מכון לשטיפת רכבים</w:t>
      </w:r>
      <w:r w:rsidR="00EA6E24">
        <w:rPr>
          <w:rFonts w:hint="cs"/>
          <w:rtl/>
        </w:rPr>
        <w:t>.</w:t>
      </w:r>
    </w:p>
    <w:p w:rsidR="00EA6E24" w:rsidRDefault="00EA6E24" w:rsidP="00EA6E24">
      <w:pPr>
        <w:pStyle w:val="a7"/>
        <w:spacing w:line="300" w:lineRule="atLeast"/>
        <w:rPr>
          <w:rtl/>
        </w:rPr>
      </w:pPr>
    </w:p>
    <w:p w:rsidR="00EA6E24" w:rsidRDefault="00EA6E24" w:rsidP="00897E04">
      <w:pPr>
        <w:numPr>
          <w:ilvl w:val="0"/>
          <w:numId w:val="3"/>
        </w:numPr>
        <w:spacing w:line="300" w:lineRule="atLeast"/>
        <w:jc w:val="both"/>
      </w:pPr>
      <w:r>
        <w:rPr>
          <w:rFonts w:hint="cs"/>
          <w:rtl/>
        </w:rPr>
        <w:t xml:space="preserve">יצוין, כי העותרת עשתה כל אשר לאל ידה על מנת לאתר את פרטי </w:t>
      </w:r>
      <w:r w:rsidR="00897E04">
        <w:rPr>
          <w:rFonts w:hint="cs"/>
          <w:rtl/>
        </w:rPr>
        <w:t xml:space="preserve"> המשיב 5, המחזיק במבנה העסק הבלתי חוקי המשמש כמכון לשטיפת רכבים</w:t>
      </w:r>
      <w:r>
        <w:rPr>
          <w:rFonts w:hint="cs"/>
          <w:rtl/>
        </w:rPr>
        <w:t>, ובכלל זה פנתה למשיבים מספר פעמים בעניין (ראו בהמשך ביתר פירוט) וכן נציג מטעמה ניגש למבנ</w:t>
      </w:r>
      <w:r w:rsidR="00897E04">
        <w:rPr>
          <w:rFonts w:hint="cs"/>
          <w:rtl/>
        </w:rPr>
        <w:t>ה</w:t>
      </w:r>
      <w:r>
        <w:rPr>
          <w:rFonts w:hint="cs"/>
          <w:rtl/>
        </w:rPr>
        <w:t xml:space="preserve"> על </w:t>
      </w:r>
      <w:r w:rsidR="00897E04">
        <w:rPr>
          <w:rFonts w:hint="cs"/>
          <w:rtl/>
        </w:rPr>
        <w:t>מנת לנסות ולברר את פרטי המחזיק</w:t>
      </w:r>
      <w:r>
        <w:rPr>
          <w:rFonts w:hint="cs"/>
          <w:rtl/>
        </w:rPr>
        <w:t xml:space="preserve"> אך הדבר לא עלה בידיו. </w:t>
      </w:r>
      <w:r>
        <w:rPr>
          <w:rFonts w:hint="cs"/>
          <w:b/>
          <w:bCs/>
          <w:rtl/>
        </w:rPr>
        <w:t>אך לאור מיקום המבנ</w:t>
      </w:r>
      <w:r w:rsidR="00897E04">
        <w:rPr>
          <w:rFonts w:hint="cs"/>
          <w:b/>
          <w:bCs/>
          <w:rtl/>
        </w:rPr>
        <w:t>ה</w:t>
      </w:r>
      <w:r w:rsidRPr="00237027">
        <w:rPr>
          <w:rFonts w:hint="cs"/>
          <w:b/>
          <w:bCs/>
          <w:rtl/>
        </w:rPr>
        <w:t xml:space="preserve"> בצמוד ממש </w:t>
      </w:r>
      <w:r w:rsidR="00810CC7">
        <w:rPr>
          <w:rFonts w:hint="cs"/>
          <w:b/>
          <w:bCs/>
          <w:rtl/>
        </w:rPr>
        <w:t>לציר הגישה לישוב גבעון החדשה</w:t>
      </w:r>
      <w:r>
        <w:rPr>
          <w:rFonts w:hint="cs"/>
          <w:b/>
          <w:bCs/>
          <w:rtl/>
        </w:rPr>
        <w:t xml:space="preserve">, </w:t>
      </w:r>
      <w:r w:rsidRPr="00237027">
        <w:rPr>
          <w:rFonts w:hint="cs"/>
          <w:b/>
          <w:bCs/>
          <w:rtl/>
        </w:rPr>
        <w:t>הרי שעם הגשת העתירה תפעל העותרת להמצאת העתירה באופן פיזי לידי המחזיק</w:t>
      </w:r>
      <w:r>
        <w:rPr>
          <w:rFonts w:hint="cs"/>
          <w:b/>
          <w:bCs/>
          <w:rtl/>
        </w:rPr>
        <w:t xml:space="preserve"> ב</w:t>
      </w:r>
      <w:r w:rsidR="00897E04">
        <w:rPr>
          <w:rFonts w:hint="cs"/>
          <w:b/>
          <w:bCs/>
          <w:rtl/>
        </w:rPr>
        <w:t>מבנה</w:t>
      </w:r>
      <w:r>
        <w:rPr>
          <w:rFonts w:hint="cs"/>
          <w:rtl/>
        </w:rPr>
        <w:t xml:space="preserve">. </w:t>
      </w:r>
    </w:p>
    <w:p w:rsidR="00EA6E24" w:rsidRDefault="00EA6E24" w:rsidP="00EA6E24">
      <w:pPr>
        <w:spacing w:line="300" w:lineRule="atLeast"/>
        <w:ind w:left="566"/>
        <w:jc w:val="both"/>
        <w:rPr>
          <w:b/>
          <w:bCs/>
          <w:sz w:val="28"/>
          <w:szCs w:val="28"/>
        </w:rPr>
      </w:pPr>
    </w:p>
    <w:p w:rsidR="00EA6E24" w:rsidRDefault="00EA6E24" w:rsidP="00EA6E24">
      <w:pPr>
        <w:numPr>
          <w:ilvl w:val="0"/>
          <w:numId w:val="2"/>
        </w:numPr>
        <w:tabs>
          <w:tab w:val="num" w:pos="566"/>
        </w:tabs>
        <w:spacing w:line="300" w:lineRule="atLeast"/>
        <w:ind w:left="566" w:hanging="540"/>
        <w:jc w:val="both"/>
        <w:rPr>
          <w:b/>
          <w:bCs/>
          <w:sz w:val="28"/>
          <w:szCs w:val="28"/>
        </w:rPr>
      </w:pPr>
      <w:r>
        <w:rPr>
          <w:rFonts w:hint="cs"/>
          <w:b/>
          <w:bCs/>
          <w:sz w:val="28"/>
          <w:szCs w:val="28"/>
          <w:rtl/>
        </w:rPr>
        <w:t>הרקע העובדתי:</w:t>
      </w:r>
    </w:p>
    <w:p w:rsidR="00EA6E24" w:rsidRDefault="00EA6E24" w:rsidP="00EA6E24">
      <w:pPr>
        <w:rPr>
          <w:rtl/>
        </w:rPr>
      </w:pPr>
    </w:p>
    <w:p w:rsidR="00EA6E24" w:rsidRDefault="00EA6E24" w:rsidP="00810CC7">
      <w:pPr>
        <w:pStyle w:val="a7"/>
        <w:numPr>
          <w:ilvl w:val="0"/>
          <w:numId w:val="3"/>
        </w:numPr>
        <w:jc w:val="both"/>
      </w:pPr>
      <w:r>
        <w:rPr>
          <w:rFonts w:hint="cs"/>
          <w:rtl/>
        </w:rPr>
        <w:t xml:space="preserve">בסמוך </w:t>
      </w:r>
      <w:r w:rsidR="00810CC7">
        <w:rPr>
          <w:rFonts w:hint="cs"/>
          <w:rtl/>
        </w:rPr>
        <w:t>מאד לציר הגישה לישוב גבעון החדשה שבבנימין</w:t>
      </w:r>
      <w:r>
        <w:rPr>
          <w:rFonts w:hint="cs"/>
          <w:rtl/>
        </w:rPr>
        <w:t>, בתוך תוואי צו איסור הבניה בכביש, הקימו המשיבים 4-</w:t>
      </w:r>
      <w:r w:rsidR="00810CC7">
        <w:rPr>
          <w:rFonts w:hint="cs"/>
          <w:rtl/>
        </w:rPr>
        <w:t>5</w:t>
      </w:r>
      <w:r>
        <w:rPr>
          <w:rFonts w:hint="cs"/>
          <w:rtl/>
        </w:rPr>
        <w:t xml:space="preserve"> ו/או מי מטעמם, ש</w:t>
      </w:r>
      <w:r w:rsidR="00810CC7">
        <w:rPr>
          <w:rFonts w:hint="cs"/>
          <w:rtl/>
        </w:rPr>
        <w:t>ני</w:t>
      </w:r>
      <w:r>
        <w:rPr>
          <w:rFonts w:hint="cs"/>
          <w:rtl/>
        </w:rPr>
        <w:t xml:space="preserve"> מבנים המשמשים כבתי עסק </w:t>
      </w:r>
      <w:r w:rsidR="00810CC7">
        <w:rPr>
          <w:rFonts w:hint="cs"/>
          <w:rtl/>
        </w:rPr>
        <w:t>לשטיפת רכבים</w:t>
      </w:r>
      <w:r>
        <w:rPr>
          <w:rFonts w:hint="cs"/>
          <w:rtl/>
        </w:rPr>
        <w:t xml:space="preserve"> וכמוסך, ללא היתרים ובניגוד לכל דין (להלן: </w:t>
      </w:r>
      <w:r w:rsidRPr="003B3386">
        <w:rPr>
          <w:rFonts w:hint="cs"/>
          <w:b/>
          <w:bCs/>
          <w:rtl/>
        </w:rPr>
        <w:t>"המבנים הבלתי חוקיים"</w:t>
      </w:r>
      <w:r>
        <w:rPr>
          <w:rFonts w:hint="cs"/>
          <w:rtl/>
        </w:rPr>
        <w:t xml:space="preserve"> ו/או </w:t>
      </w:r>
      <w:r w:rsidRPr="003B3386">
        <w:rPr>
          <w:rFonts w:hint="cs"/>
          <w:b/>
          <w:bCs/>
          <w:rtl/>
        </w:rPr>
        <w:t>"בתי העסק"</w:t>
      </w:r>
      <w:r>
        <w:rPr>
          <w:rFonts w:hint="cs"/>
          <w:rtl/>
        </w:rPr>
        <w:t>).</w:t>
      </w:r>
    </w:p>
    <w:p w:rsidR="00EA6E24" w:rsidRDefault="00EA6E24" w:rsidP="00EA6E24">
      <w:pPr>
        <w:pStyle w:val="a7"/>
        <w:ind w:left="716"/>
        <w:jc w:val="both"/>
        <w:rPr>
          <w:rtl/>
        </w:rPr>
      </w:pPr>
    </w:p>
    <w:p w:rsidR="00EA6E24" w:rsidRDefault="00810CC7" w:rsidP="00EA6E24">
      <w:pPr>
        <w:pStyle w:val="a7"/>
        <w:numPr>
          <w:ilvl w:val="0"/>
          <w:numId w:val="3"/>
        </w:numPr>
        <w:jc w:val="both"/>
      </w:pPr>
      <w:r>
        <w:rPr>
          <w:rFonts w:hint="cs"/>
          <w:rtl/>
        </w:rPr>
        <w:t>המבנים הבלתי חוקיים</w:t>
      </w:r>
      <w:r w:rsidR="00EA6E24">
        <w:rPr>
          <w:rFonts w:hint="cs"/>
          <w:rtl/>
        </w:rPr>
        <w:t xml:space="preserve"> הוקמו בשטחי </w:t>
      </w:r>
      <w:r w:rsidR="00EA6E24">
        <w:rPr>
          <w:rFonts w:hint="cs"/>
        </w:rPr>
        <w:t>C</w:t>
      </w:r>
      <w:r w:rsidR="00EA6E24">
        <w:rPr>
          <w:rFonts w:hint="cs"/>
          <w:rtl/>
        </w:rPr>
        <w:t xml:space="preserve"> אשר בשליטה ישראלית, אזרחית וביטחונית מלאה.</w:t>
      </w:r>
    </w:p>
    <w:p w:rsidR="00810CC7" w:rsidRDefault="00810CC7" w:rsidP="00810CC7">
      <w:pPr>
        <w:pStyle w:val="a7"/>
        <w:rPr>
          <w:rtl/>
        </w:rPr>
      </w:pPr>
    </w:p>
    <w:p w:rsidR="00810CC7" w:rsidRDefault="00810CC7" w:rsidP="00810CC7">
      <w:pPr>
        <w:pStyle w:val="a7"/>
        <w:numPr>
          <w:ilvl w:val="0"/>
          <w:numId w:val="3"/>
        </w:numPr>
        <w:jc w:val="both"/>
      </w:pPr>
      <w:r w:rsidRPr="00605206">
        <w:rPr>
          <w:rFonts w:hint="cs"/>
          <w:rtl/>
        </w:rPr>
        <w:t>להלן תצלום אוויר של המרחב ועל גביו סימון מיקום בתי העסק, וכן תמונות שצולמו במקום:</w:t>
      </w:r>
    </w:p>
    <w:p w:rsidR="008017A5" w:rsidRDefault="008017A5" w:rsidP="008017A5">
      <w:pPr>
        <w:pStyle w:val="a7"/>
        <w:rPr>
          <w:rtl/>
        </w:rPr>
      </w:pPr>
    </w:p>
    <w:p w:rsidR="008017A5" w:rsidRDefault="008017A5" w:rsidP="008017A5">
      <w:pPr>
        <w:pStyle w:val="a7"/>
        <w:ind w:left="716"/>
        <w:jc w:val="both"/>
      </w:pPr>
      <w:r w:rsidRPr="008017A5">
        <w:rPr>
          <w:noProof/>
          <w:rtl/>
          <w:lang w:eastAsia="en-US"/>
        </w:rPr>
        <w:drawing>
          <wp:inline distT="0" distB="0" distL="0" distR="0">
            <wp:extent cx="4885893" cy="3457575"/>
            <wp:effectExtent l="0" t="0" r="0" b="0"/>
            <wp:docPr id="1" name="תמונה 1" descr="C:\Users\User\AppData\Local\Microsoft\Windows\INetCache\Content.Outlook\CIAWHOGD\יוש 2019 שוטף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CIAWHOGD\יוש 2019 שוטף (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2932" cy="3462556"/>
                    </a:xfrm>
                    <a:prstGeom prst="rect">
                      <a:avLst/>
                    </a:prstGeom>
                    <a:noFill/>
                    <a:ln>
                      <a:noFill/>
                    </a:ln>
                  </pic:spPr>
                </pic:pic>
              </a:graphicData>
            </a:graphic>
          </wp:inline>
        </w:drawing>
      </w:r>
    </w:p>
    <w:p w:rsidR="00BF77EA" w:rsidRDefault="00BF77EA" w:rsidP="00BF77EA">
      <w:pPr>
        <w:pStyle w:val="a7"/>
        <w:rPr>
          <w:rtl/>
        </w:rPr>
      </w:pPr>
    </w:p>
    <w:p w:rsidR="00BF77EA" w:rsidRDefault="00BF77EA" w:rsidP="00BF77EA">
      <w:pPr>
        <w:pStyle w:val="a7"/>
        <w:ind w:left="716"/>
        <w:jc w:val="both"/>
        <w:rPr>
          <w:rtl/>
        </w:rPr>
      </w:pPr>
    </w:p>
    <w:p w:rsidR="00BF77EA" w:rsidRDefault="00BF77EA" w:rsidP="00BF77EA">
      <w:pPr>
        <w:pStyle w:val="a7"/>
        <w:ind w:left="716"/>
        <w:jc w:val="both"/>
        <w:rPr>
          <w:rtl/>
        </w:rPr>
      </w:pPr>
      <w:r>
        <w:rPr>
          <w:rFonts w:hint="cs"/>
          <w:rtl/>
        </w:rPr>
        <w:t xml:space="preserve">נקודה 1 </w:t>
      </w:r>
      <w:r>
        <w:rPr>
          <w:rtl/>
        </w:rPr>
        <w:t>–</w:t>
      </w:r>
      <w:r>
        <w:rPr>
          <w:rFonts w:hint="cs"/>
          <w:rtl/>
        </w:rPr>
        <w:t xml:space="preserve"> המוסך של נור, נ.צ. 215918/639814</w:t>
      </w:r>
    </w:p>
    <w:p w:rsidR="00BF77EA" w:rsidRDefault="00BF77EA" w:rsidP="00BF77EA">
      <w:pPr>
        <w:pStyle w:val="a7"/>
        <w:ind w:left="716"/>
        <w:jc w:val="both"/>
        <w:rPr>
          <w:rtl/>
        </w:rPr>
      </w:pPr>
    </w:p>
    <w:p w:rsidR="00BF77EA" w:rsidRDefault="00BF77EA" w:rsidP="00BF77EA">
      <w:pPr>
        <w:pStyle w:val="a7"/>
        <w:ind w:left="716"/>
        <w:jc w:val="both"/>
        <w:rPr>
          <w:rtl/>
        </w:rPr>
      </w:pPr>
      <w:r>
        <w:rPr>
          <w:rFonts w:hint="cs"/>
          <w:rtl/>
        </w:rPr>
        <w:t xml:space="preserve">נקודה 2 </w:t>
      </w:r>
      <w:r>
        <w:rPr>
          <w:rtl/>
        </w:rPr>
        <w:t>–</w:t>
      </w:r>
      <w:r>
        <w:rPr>
          <w:rFonts w:hint="cs"/>
          <w:rtl/>
        </w:rPr>
        <w:t xml:space="preserve"> מכון לשטיפת רכבים, נ.צ. 215920/639843</w:t>
      </w:r>
    </w:p>
    <w:p w:rsidR="009E0D6E" w:rsidRDefault="009E0D6E" w:rsidP="00BF77EA">
      <w:pPr>
        <w:pStyle w:val="a7"/>
        <w:ind w:left="716"/>
        <w:jc w:val="both"/>
        <w:rPr>
          <w:rtl/>
        </w:rPr>
      </w:pPr>
    </w:p>
    <w:p w:rsidR="009E0D6E" w:rsidRDefault="009E0D6E" w:rsidP="00BF77EA">
      <w:pPr>
        <w:pStyle w:val="a7"/>
        <w:ind w:left="716"/>
        <w:jc w:val="both"/>
        <w:rPr>
          <w:rtl/>
        </w:rPr>
      </w:pPr>
    </w:p>
    <w:p w:rsidR="009E0D6E" w:rsidRDefault="009E0D6E" w:rsidP="00BF77EA">
      <w:pPr>
        <w:pStyle w:val="a7"/>
        <w:ind w:left="716"/>
        <w:jc w:val="both"/>
        <w:rPr>
          <w:rtl/>
        </w:rPr>
      </w:pPr>
    </w:p>
    <w:p w:rsidR="009E0D6E" w:rsidRDefault="009E0D6E" w:rsidP="00BF77EA">
      <w:pPr>
        <w:pStyle w:val="a7"/>
        <w:ind w:left="716"/>
        <w:jc w:val="both"/>
        <w:rPr>
          <w:rtl/>
        </w:rPr>
      </w:pPr>
    </w:p>
    <w:p w:rsidR="009E0D6E" w:rsidRDefault="009E0D6E" w:rsidP="00BF77EA">
      <w:pPr>
        <w:pStyle w:val="a7"/>
        <w:ind w:left="716"/>
        <w:jc w:val="both"/>
        <w:rPr>
          <w:rtl/>
        </w:rPr>
      </w:pPr>
      <w:r w:rsidRPr="00B11FF5">
        <w:rPr>
          <w:noProof/>
          <w:rtl/>
          <w:lang w:eastAsia="en-US"/>
        </w:rPr>
        <w:drawing>
          <wp:inline distT="0" distB="0" distL="0" distR="0" wp14:anchorId="6EC49FA0" wp14:editId="082C9F0F">
            <wp:extent cx="4894583" cy="3581400"/>
            <wp:effectExtent l="0" t="0" r="1270" b="0"/>
            <wp:docPr id="3" name="תמונה 3" descr="C:\Users\User\AppData\Local\Microsoft\Windows\INetCache\Content.Outlook\CIAWHOGD\photo_2019-02-13_11-2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Outlook\CIAWHOGD\photo_2019-02-13_11-29-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3549" cy="3602595"/>
                    </a:xfrm>
                    <a:prstGeom prst="rect">
                      <a:avLst/>
                    </a:prstGeom>
                    <a:noFill/>
                    <a:ln>
                      <a:noFill/>
                    </a:ln>
                  </pic:spPr>
                </pic:pic>
              </a:graphicData>
            </a:graphic>
          </wp:inline>
        </w:drawing>
      </w:r>
    </w:p>
    <w:p w:rsidR="009E0D6E" w:rsidRDefault="009E0D6E" w:rsidP="00BF77EA">
      <w:pPr>
        <w:pStyle w:val="a7"/>
        <w:ind w:left="716"/>
        <w:jc w:val="both"/>
        <w:rPr>
          <w:rtl/>
        </w:rPr>
      </w:pPr>
    </w:p>
    <w:p w:rsidR="009E0D6E" w:rsidRDefault="009E0D6E" w:rsidP="00BF77EA">
      <w:pPr>
        <w:pStyle w:val="a7"/>
        <w:ind w:left="716"/>
        <w:jc w:val="both"/>
        <w:rPr>
          <w:rtl/>
        </w:rPr>
      </w:pPr>
    </w:p>
    <w:p w:rsidR="009E0D6E" w:rsidRDefault="009E0D6E" w:rsidP="00BF77EA">
      <w:pPr>
        <w:pStyle w:val="a7"/>
        <w:ind w:left="716"/>
        <w:jc w:val="both"/>
        <w:rPr>
          <w:rtl/>
        </w:rPr>
      </w:pPr>
    </w:p>
    <w:p w:rsidR="009E0D6E" w:rsidRDefault="009E0D6E" w:rsidP="00BF77EA">
      <w:pPr>
        <w:pStyle w:val="a7"/>
        <w:ind w:left="716"/>
        <w:jc w:val="both"/>
        <w:rPr>
          <w:rtl/>
        </w:rPr>
      </w:pPr>
      <w:r w:rsidRPr="00543C68">
        <w:rPr>
          <w:noProof/>
          <w:rtl/>
          <w:lang w:eastAsia="en-US"/>
        </w:rPr>
        <w:drawing>
          <wp:inline distT="0" distB="0" distL="0" distR="0" wp14:anchorId="703FE939" wp14:editId="5EE31E00">
            <wp:extent cx="4875530" cy="3486054"/>
            <wp:effectExtent l="0" t="0" r="1270" b="635"/>
            <wp:docPr id="5" name="תמונה 5" descr="C:\Users\User\AppData\Local\Microsoft\Windows\INetCache\Content.Outlook\CIAWHOGD\photo_2019-02-12_15-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Outlook\CIAWHOGD\photo_2019-02-12_15-2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1648" cy="3511879"/>
                    </a:xfrm>
                    <a:prstGeom prst="rect">
                      <a:avLst/>
                    </a:prstGeom>
                    <a:noFill/>
                    <a:ln>
                      <a:noFill/>
                    </a:ln>
                  </pic:spPr>
                </pic:pic>
              </a:graphicData>
            </a:graphic>
          </wp:inline>
        </w:drawing>
      </w:r>
    </w:p>
    <w:p w:rsidR="00BF77EA" w:rsidRDefault="00BF77EA" w:rsidP="00BF77EA">
      <w:pPr>
        <w:pStyle w:val="a7"/>
        <w:ind w:left="716"/>
        <w:jc w:val="both"/>
      </w:pPr>
    </w:p>
    <w:p w:rsidR="00810CC7" w:rsidRDefault="00810CC7" w:rsidP="00810CC7">
      <w:pPr>
        <w:pStyle w:val="a7"/>
        <w:rPr>
          <w:rtl/>
        </w:rPr>
      </w:pPr>
    </w:p>
    <w:p w:rsidR="005B7C1E" w:rsidRDefault="005B7C1E" w:rsidP="002111CA">
      <w:pPr>
        <w:numPr>
          <w:ilvl w:val="0"/>
          <w:numId w:val="3"/>
        </w:numPr>
        <w:spacing w:line="280" w:lineRule="atLeast"/>
        <w:jc w:val="both"/>
      </w:pPr>
      <w:r>
        <w:rPr>
          <w:rFonts w:hint="cs"/>
          <w:rtl/>
        </w:rPr>
        <w:t>כפי שניתן להיווכח מעיון בתצ"א ובתמונות המצורפות לעיל, המשיבים 4-5 ו/או מי מטעמם בנו את בתי העסק ללא כל היתר שבדין, ותוך שהשתלטו על אדמות לא להם, והכל תוך קביעת עובדות בשטח מתחת לאפן של רשויות האכיפה.</w:t>
      </w:r>
    </w:p>
    <w:p w:rsidR="005B7C1E" w:rsidRPr="00902C53" w:rsidRDefault="005B7C1E" w:rsidP="005B7C1E">
      <w:pPr>
        <w:pStyle w:val="a7"/>
        <w:rPr>
          <w:rtl/>
        </w:rPr>
      </w:pPr>
    </w:p>
    <w:p w:rsidR="005B7C1E" w:rsidRDefault="005B7C1E" w:rsidP="005B7C1E">
      <w:pPr>
        <w:numPr>
          <w:ilvl w:val="0"/>
          <w:numId w:val="3"/>
        </w:numPr>
        <w:spacing w:line="280" w:lineRule="atLeast"/>
        <w:jc w:val="both"/>
      </w:pPr>
      <w:r>
        <w:rPr>
          <w:rFonts w:hint="cs"/>
          <w:rtl/>
        </w:rPr>
        <w:t>אם לא די בכך, בתי העסק נבנו שלא כדין בצמוד ממש לכביש הגישה לישוב גבעון החדשה, אשר משמש באופן יומיומי את תושבי הישוב והישובים הסמוכים לו</w:t>
      </w:r>
      <w:r w:rsidR="002111CA">
        <w:rPr>
          <w:rFonts w:hint="cs"/>
          <w:rtl/>
        </w:rPr>
        <w:t>, בתוך תחום צו איסור בניה החל במקום</w:t>
      </w:r>
      <w:r>
        <w:rPr>
          <w:rFonts w:hint="cs"/>
          <w:rtl/>
        </w:rPr>
        <w:t xml:space="preserve">. </w:t>
      </w:r>
      <w:r w:rsidRPr="007D0430">
        <w:rPr>
          <w:rFonts w:hint="cs"/>
          <w:b/>
          <w:bCs/>
          <w:sz w:val="26"/>
          <w:szCs w:val="26"/>
          <w:u w:val="single"/>
          <w:rtl/>
        </w:rPr>
        <w:t>בניית והפעלת בתי העסק בסמיכות כה גדולה לציר הראשי במרחב מסכנת את חיי הנוסעים בכביש זה, הן בפן התחבורתי והן בפן הביטחוני, על כל המשתמע והנובע מכך</w:t>
      </w:r>
      <w:r>
        <w:rPr>
          <w:rFonts w:hint="cs"/>
          <w:rtl/>
        </w:rPr>
        <w:t xml:space="preserve">. </w:t>
      </w:r>
    </w:p>
    <w:p w:rsidR="005B7C1E" w:rsidRDefault="005B7C1E" w:rsidP="005B7C1E">
      <w:pPr>
        <w:pStyle w:val="a7"/>
        <w:rPr>
          <w:rtl/>
        </w:rPr>
      </w:pPr>
    </w:p>
    <w:p w:rsidR="005B7C1E" w:rsidRDefault="005B7C1E" w:rsidP="005B7C1E">
      <w:pPr>
        <w:numPr>
          <w:ilvl w:val="0"/>
          <w:numId w:val="3"/>
        </w:numPr>
        <w:spacing w:line="280" w:lineRule="atLeast"/>
        <w:jc w:val="both"/>
      </w:pPr>
      <w:r>
        <w:rPr>
          <w:rFonts w:hint="cs"/>
          <w:rtl/>
        </w:rPr>
        <w:t>העותרת תטען, כי מיקומם של בתי העסק בצמוד ממש לציר הגישה לישוב גבעון החדשה, בתוך תוואי צו איסור הבניה, מוביל להתפרצות כלי רכב באופן בלתי סדיר ממתחם בתי העסק הבלתי חוקיים לכיוון הכביש, דבר הגורם לתאונות דרכים רבות במקום.</w:t>
      </w:r>
    </w:p>
    <w:p w:rsidR="005B7C1E" w:rsidRDefault="005B7C1E" w:rsidP="005B7C1E">
      <w:pPr>
        <w:pStyle w:val="a7"/>
        <w:rPr>
          <w:rtl/>
        </w:rPr>
      </w:pPr>
    </w:p>
    <w:p w:rsidR="00BF77EA" w:rsidRDefault="00BF77EA" w:rsidP="00BF77EA">
      <w:pPr>
        <w:numPr>
          <w:ilvl w:val="0"/>
          <w:numId w:val="3"/>
        </w:numPr>
        <w:spacing w:line="280" w:lineRule="atLeast"/>
        <w:jc w:val="both"/>
      </w:pPr>
      <w:r>
        <w:rPr>
          <w:rFonts w:hint="cs"/>
          <w:rtl/>
        </w:rPr>
        <w:t>ובמילים אחרות - לא רק שבתי העסק נבנו ופועלים ללא כל היתר ובניגוד לכל דין, אלא שהפעלת בתי העסק בצמוד ממש לכביש הראשי באזור ולכביש הגישה לישוב גבעון החדשה</w:t>
      </w:r>
      <w:r w:rsidR="002111CA">
        <w:rPr>
          <w:rFonts w:hint="cs"/>
          <w:rtl/>
        </w:rPr>
        <w:t>, בניגוד לצו איסור בניה החל במקום,</w:t>
      </w:r>
      <w:r>
        <w:rPr>
          <w:rFonts w:hint="cs"/>
          <w:rtl/>
        </w:rPr>
        <w:t xml:space="preserve"> גורמת לסיכון חיי אדם פשוטו כמשמעו, תוך שהמשיבים מתפרקים באופן מוחלט מחובתם לאכוף את החוק במקום, ומאפשרים לעבריינים להמשיך ולהפעיל את בתי העסק, חרף הסיכון לחיי אדם הכרוך בכך, ובכך למעשה מועלים בתפקידם לדאוג לסדר הציבורי ולביטחון הפנים במקום.</w:t>
      </w:r>
    </w:p>
    <w:p w:rsidR="00BF77EA" w:rsidRDefault="00BF77EA" w:rsidP="00BF77EA">
      <w:pPr>
        <w:pStyle w:val="a7"/>
        <w:rPr>
          <w:rtl/>
        </w:rPr>
      </w:pPr>
    </w:p>
    <w:p w:rsidR="00BF77EA" w:rsidRDefault="00BF77EA" w:rsidP="00BF77EA">
      <w:pPr>
        <w:numPr>
          <w:ilvl w:val="0"/>
          <w:numId w:val="3"/>
        </w:numPr>
        <w:spacing w:line="280" w:lineRule="atLeast"/>
        <w:jc w:val="both"/>
      </w:pPr>
      <w:r>
        <w:rPr>
          <w:rFonts w:hint="cs"/>
          <w:rtl/>
        </w:rPr>
        <w:t xml:space="preserve">יצוין ויודגש, כי המבנים הבלתי חוקיים נבנו מחדש ע"י עברייני הבניה על גבי חורבות בתי עסק שנהרסו בעבר ע"י רשויות האכיפה, אך הללו שבו והקימו אותם מחדש ומאז ממשיכים לפעול באין כל מפריע מצד רשויות האכיפה. </w:t>
      </w:r>
    </w:p>
    <w:p w:rsidR="00BF77EA" w:rsidRDefault="00BF77EA" w:rsidP="00BF77EA">
      <w:pPr>
        <w:spacing w:line="280" w:lineRule="atLeast"/>
        <w:ind w:left="26"/>
        <w:jc w:val="both"/>
        <w:rPr>
          <w:rtl/>
        </w:rPr>
      </w:pPr>
    </w:p>
    <w:p w:rsidR="00897E04" w:rsidRDefault="00897E04" w:rsidP="00BF77EA">
      <w:pPr>
        <w:spacing w:line="280" w:lineRule="atLeast"/>
        <w:ind w:left="26"/>
        <w:jc w:val="both"/>
        <w:rPr>
          <w:rtl/>
        </w:rPr>
      </w:pPr>
    </w:p>
    <w:p w:rsidR="00897E04" w:rsidRDefault="00897E04" w:rsidP="00BF77EA">
      <w:pPr>
        <w:spacing w:line="280" w:lineRule="atLeast"/>
        <w:ind w:left="26"/>
        <w:jc w:val="both"/>
        <w:rPr>
          <w:rtl/>
        </w:rPr>
      </w:pPr>
    </w:p>
    <w:p w:rsidR="00897E04" w:rsidRDefault="00897E04" w:rsidP="002111CA">
      <w:pPr>
        <w:spacing w:line="280" w:lineRule="atLeast"/>
        <w:jc w:val="both"/>
        <w:rPr>
          <w:rtl/>
        </w:rPr>
      </w:pPr>
    </w:p>
    <w:p w:rsidR="00BF77EA" w:rsidRPr="003B3386" w:rsidRDefault="00BF77EA" w:rsidP="00BF77EA">
      <w:pPr>
        <w:pStyle w:val="a7"/>
        <w:numPr>
          <w:ilvl w:val="0"/>
          <w:numId w:val="2"/>
        </w:numPr>
        <w:tabs>
          <w:tab w:val="clear" w:pos="1080"/>
          <w:tab w:val="num" w:pos="651"/>
        </w:tabs>
        <w:spacing w:line="280" w:lineRule="atLeast"/>
        <w:ind w:hanging="1138"/>
        <w:jc w:val="both"/>
        <w:rPr>
          <w:b/>
          <w:bCs/>
          <w:sz w:val="28"/>
          <w:szCs w:val="28"/>
        </w:rPr>
      </w:pPr>
      <w:r>
        <w:rPr>
          <w:rFonts w:hint="cs"/>
          <w:b/>
          <w:bCs/>
          <w:sz w:val="28"/>
          <w:szCs w:val="28"/>
          <w:rtl/>
        </w:rPr>
        <w:t>מיצוי הליכים:</w:t>
      </w:r>
      <w:r w:rsidRPr="003B3386">
        <w:rPr>
          <w:rFonts w:hint="cs"/>
          <w:b/>
          <w:bCs/>
          <w:sz w:val="28"/>
          <w:szCs w:val="28"/>
          <w:rtl/>
        </w:rPr>
        <w:t xml:space="preserve"> </w:t>
      </w:r>
    </w:p>
    <w:p w:rsidR="00BF77EA" w:rsidRDefault="00BF77EA" w:rsidP="00BF77EA">
      <w:pPr>
        <w:pStyle w:val="a7"/>
        <w:rPr>
          <w:rtl/>
        </w:rPr>
      </w:pPr>
    </w:p>
    <w:p w:rsidR="009811BE" w:rsidRPr="009811BE" w:rsidRDefault="009811BE" w:rsidP="009811BE">
      <w:pPr>
        <w:ind w:left="26"/>
        <w:jc w:val="both"/>
        <w:rPr>
          <w:b/>
          <w:bCs/>
          <w:rtl/>
        </w:rPr>
      </w:pPr>
      <w:r w:rsidRPr="009811BE">
        <w:rPr>
          <w:rFonts w:hint="cs"/>
          <w:b/>
          <w:bCs/>
          <w:rtl/>
        </w:rPr>
        <w:t xml:space="preserve">תחנת שטיפת הרכבים </w:t>
      </w:r>
      <w:r w:rsidRPr="009811BE">
        <w:rPr>
          <w:b/>
          <w:bCs/>
          <w:rtl/>
        </w:rPr>
        <w:t>–</w:t>
      </w:r>
      <w:r w:rsidRPr="009811BE">
        <w:rPr>
          <w:rFonts w:hint="cs"/>
          <w:b/>
          <w:bCs/>
          <w:rtl/>
        </w:rPr>
        <w:t xml:space="preserve"> </w:t>
      </w:r>
    </w:p>
    <w:p w:rsidR="009811BE" w:rsidRPr="00605206" w:rsidRDefault="009811BE" w:rsidP="009811BE">
      <w:pPr>
        <w:ind w:left="26"/>
        <w:jc w:val="both"/>
      </w:pPr>
    </w:p>
    <w:p w:rsidR="009811BE" w:rsidRDefault="009811BE" w:rsidP="009811BE">
      <w:pPr>
        <w:pStyle w:val="a3"/>
        <w:numPr>
          <w:ilvl w:val="0"/>
          <w:numId w:val="3"/>
        </w:numPr>
        <w:spacing w:line="280" w:lineRule="atLeast"/>
        <w:jc w:val="both"/>
      </w:pPr>
      <w:r>
        <w:rPr>
          <w:rFonts w:hint="cs"/>
          <w:rtl/>
        </w:rPr>
        <w:t xml:space="preserve">ביום 17.2.2019 פנתה העותרת אל המשיבים בהתאם לחוק לתיקון סדרי מנהל (החלטות והנמקות), תשי"ט -1958 (להלן: </w:t>
      </w:r>
      <w:r>
        <w:rPr>
          <w:rFonts w:hint="cs"/>
          <w:b/>
          <w:bCs/>
          <w:rtl/>
        </w:rPr>
        <w:t>"חוק ההנמקות"</w:t>
      </w:r>
      <w:r>
        <w:rPr>
          <w:rFonts w:hint="cs"/>
          <w:rtl/>
        </w:rPr>
        <w:t>). בפנייתה זו דרשה העותרת, בין היתר, כי המשיבים ינקטו בהליכי פיקוח ואכיפה כנגד תחנת שטיפת הרכבים שנבנתה ומופעלת ללא כל היתר ובניגוד לכל דין.</w:t>
      </w:r>
    </w:p>
    <w:p w:rsidR="009811BE" w:rsidRDefault="009811BE" w:rsidP="009811BE">
      <w:pPr>
        <w:pStyle w:val="a3"/>
        <w:spacing w:line="280" w:lineRule="atLeast"/>
        <w:ind w:left="716"/>
        <w:jc w:val="both"/>
        <w:rPr>
          <w:rtl/>
        </w:rPr>
      </w:pPr>
    </w:p>
    <w:p w:rsidR="009811BE" w:rsidRDefault="009811BE" w:rsidP="009811BE">
      <w:pPr>
        <w:pStyle w:val="a3"/>
        <w:spacing w:line="280" w:lineRule="atLeast"/>
        <w:ind w:left="716"/>
        <w:jc w:val="both"/>
        <w:rPr>
          <w:b/>
          <w:bCs/>
          <w:rtl/>
        </w:rPr>
      </w:pPr>
      <w:r w:rsidRPr="00BF77EA">
        <w:rPr>
          <w:rFonts w:hint="cs"/>
          <w:b/>
          <w:bCs/>
          <w:rtl/>
        </w:rPr>
        <w:t xml:space="preserve">מצ"ב העתק פניית העותרת מיום </w:t>
      </w:r>
      <w:r>
        <w:rPr>
          <w:rFonts w:hint="cs"/>
          <w:b/>
          <w:bCs/>
          <w:rtl/>
        </w:rPr>
        <w:t>1</w:t>
      </w:r>
      <w:r w:rsidRPr="00BF77EA">
        <w:rPr>
          <w:rFonts w:hint="cs"/>
          <w:b/>
          <w:bCs/>
          <w:rtl/>
        </w:rPr>
        <w:t xml:space="preserve">7.2.2019, ומסומן </w:t>
      </w:r>
      <w:r w:rsidRPr="00BF77EA">
        <w:rPr>
          <w:rFonts w:hint="cs"/>
          <w:b/>
          <w:bCs/>
          <w:u w:val="single"/>
          <w:rtl/>
        </w:rPr>
        <w:t>כנספח א' לעתירה</w:t>
      </w:r>
      <w:r w:rsidRPr="00BF77EA">
        <w:rPr>
          <w:rFonts w:hint="cs"/>
          <w:b/>
          <w:bCs/>
          <w:rtl/>
        </w:rPr>
        <w:t>.</w:t>
      </w:r>
    </w:p>
    <w:p w:rsidR="009811BE" w:rsidRPr="00BF77EA" w:rsidRDefault="009811BE" w:rsidP="009811BE">
      <w:pPr>
        <w:pStyle w:val="a3"/>
        <w:spacing w:line="280" w:lineRule="atLeast"/>
        <w:ind w:left="716"/>
        <w:jc w:val="both"/>
        <w:rPr>
          <w:b/>
          <w:bCs/>
        </w:rPr>
      </w:pPr>
    </w:p>
    <w:p w:rsidR="009811BE" w:rsidRDefault="009811BE" w:rsidP="009811BE">
      <w:pPr>
        <w:pStyle w:val="a3"/>
        <w:numPr>
          <w:ilvl w:val="0"/>
          <w:numId w:val="3"/>
        </w:numPr>
        <w:spacing w:line="280" w:lineRule="atLeast"/>
        <w:jc w:val="both"/>
      </w:pPr>
      <w:r>
        <w:rPr>
          <w:rFonts w:hint="cs"/>
          <w:rtl/>
        </w:rPr>
        <w:t>משפנייתה זו של העותרת לא נענתה חרף הוראות חוק ההנמקות ומשעברייני הבניה המשיכו בהפעלת בית העסק במקום ללא היתר, ותוך סיכון חיי אדם, פנתה העותרת ביום 31.3.2019 בהודעת תזכורת לפנייתה לעיל.</w:t>
      </w:r>
    </w:p>
    <w:p w:rsidR="009811BE" w:rsidRDefault="009811BE" w:rsidP="009811BE">
      <w:pPr>
        <w:pStyle w:val="a3"/>
        <w:spacing w:line="280" w:lineRule="atLeast"/>
        <w:ind w:left="716"/>
        <w:jc w:val="both"/>
        <w:rPr>
          <w:rtl/>
        </w:rPr>
      </w:pPr>
      <w:r>
        <w:rPr>
          <w:rtl/>
        </w:rPr>
        <w:t xml:space="preserve"> </w:t>
      </w:r>
    </w:p>
    <w:p w:rsidR="009811BE" w:rsidRPr="002E328B" w:rsidRDefault="009811BE" w:rsidP="009811BE">
      <w:pPr>
        <w:pStyle w:val="a3"/>
        <w:spacing w:line="280" w:lineRule="atLeast"/>
        <w:ind w:left="716"/>
        <w:jc w:val="both"/>
        <w:rPr>
          <w:b/>
          <w:bCs/>
          <w:rtl/>
        </w:rPr>
      </w:pPr>
      <w:r w:rsidRPr="002E328B">
        <w:rPr>
          <w:rFonts w:hint="cs"/>
          <w:b/>
          <w:bCs/>
          <w:rtl/>
        </w:rPr>
        <w:t xml:space="preserve">מצ"ב העתק </w:t>
      </w:r>
      <w:r>
        <w:rPr>
          <w:rFonts w:hint="cs"/>
          <w:b/>
          <w:bCs/>
          <w:rtl/>
        </w:rPr>
        <w:t xml:space="preserve">הודעת התזכורת מטעם </w:t>
      </w:r>
      <w:r w:rsidRPr="002E328B">
        <w:rPr>
          <w:rFonts w:hint="cs"/>
          <w:b/>
          <w:bCs/>
          <w:rtl/>
        </w:rPr>
        <w:t xml:space="preserve">העותרת מיום </w:t>
      </w:r>
      <w:r>
        <w:rPr>
          <w:rFonts w:hint="cs"/>
          <w:b/>
          <w:bCs/>
          <w:rtl/>
        </w:rPr>
        <w:t>31.3.2019</w:t>
      </w:r>
      <w:r w:rsidRPr="002E328B">
        <w:rPr>
          <w:rFonts w:hint="cs"/>
          <w:b/>
          <w:bCs/>
          <w:rtl/>
        </w:rPr>
        <w:t xml:space="preserve">, ומסומן </w:t>
      </w:r>
      <w:r w:rsidRPr="002E328B">
        <w:rPr>
          <w:rFonts w:hint="cs"/>
          <w:b/>
          <w:bCs/>
          <w:u w:val="single"/>
          <w:rtl/>
        </w:rPr>
        <w:t xml:space="preserve">כנספח </w:t>
      </w:r>
      <w:r>
        <w:rPr>
          <w:rFonts w:hint="cs"/>
          <w:b/>
          <w:bCs/>
          <w:u w:val="single"/>
          <w:rtl/>
        </w:rPr>
        <w:t>ב</w:t>
      </w:r>
      <w:r w:rsidRPr="002E328B">
        <w:rPr>
          <w:rFonts w:hint="cs"/>
          <w:b/>
          <w:bCs/>
          <w:u w:val="single"/>
          <w:rtl/>
        </w:rPr>
        <w:t>'</w:t>
      </w:r>
      <w:r>
        <w:rPr>
          <w:rFonts w:hint="cs"/>
          <w:b/>
          <w:bCs/>
          <w:u w:val="single"/>
          <w:rtl/>
        </w:rPr>
        <w:t xml:space="preserve"> לעתירה</w:t>
      </w:r>
      <w:r w:rsidRPr="002E328B">
        <w:rPr>
          <w:rFonts w:hint="cs"/>
          <w:b/>
          <w:bCs/>
          <w:rtl/>
        </w:rPr>
        <w:t xml:space="preserve">. </w:t>
      </w:r>
    </w:p>
    <w:p w:rsidR="009811BE" w:rsidRDefault="009811BE" w:rsidP="009811BE">
      <w:pPr>
        <w:pStyle w:val="a3"/>
        <w:spacing w:line="280" w:lineRule="atLeast"/>
        <w:ind w:left="716"/>
        <w:jc w:val="both"/>
      </w:pPr>
    </w:p>
    <w:p w:rsidR="009811BE" w:rsidRDefault="009811BE" w:rsidP="009811BE">
      <w:pPr>
        <w:pStyle w:val="a3"/>
        <w:numPr>
          <w:ilvl w:val="0"/>
          <w:numId w:val="3"/>
        </w:numPr>
        <w:spacing w:line="280" w:lineRule="atLeast"/>
        <w:jc w:val="both"/>
      </w:pPr>
      <w:r>
        <w:rPr>
          <w:rFonts w:hint="cs"/>
          <w:rtl/>
        </w:rPr>
        <w:t xml:space="preserve">בניגוד להוראות חוק ההנמקות, אף פנייתה זו של העותרת נענתה ריקם ע"י המשיבים. </w:t>
      </w:r>
    </w:p>
    <w:p w:rsidR="008017A5" w:rsidRDefault="008017A5" w:rsidP="00BF77EA">
      <w:pPr>
        <w:pStyle w:val="a3"/>
        <w:spacing w:line="280" w:lineRule="atLeast"/>
        <w:jc w:val="both"/>
        <w:rPr>
          <w:b/>
          <w:bCs/>
          <w:rtl/>
        </w:rPr>
      </w:pPr>
    </w:p>
    <w:p w:rsidR="00BF77EA" w:rsidRPr="00BF77EA" w:rsidRDefault="00BF77EA" w:rsidP="00BF77EA">
      <w:pPr>
        <w:pStyle w:val="a3"/>
        <w:spacing w:line="280" w:lineRule="atLeast"/>
        <w:jc w:val="both"/>
        <w:rPr>
          <w:b/>
          <w:bCs/>
          <w:rtl/>
        </w:rPr>
      </w:pPr>
      <w:r w:rsidRPr="00BF77EA">
        <w:rPr>
          <w:rFonts w:hint="cs"/>
          <w:b/>
          <w:bCs/>
          <w:rtl/>
        </w:rPr>
        <w:t xml:space="preserve">המוסך הבלתי חוקי </w:t>
      </w:r>
      <w:r w:rsidRPr="00BF77EA">
        <w:rPr>
          <w:b/>
          <w:bCs/>
          <w:rtl/>
        </w:rPr>
        <w:t>–</w:t>
      </w:r>
      <w:r w:rsidRPr="00BF77EA">
        <w:rPr>
          <w:rFonts w:hint="cs"/>
          <w:b/>
          <w:bCs/>
          <w:rtl/>
        </w:rPr>
        <w:t xml:space="preserve"> </w:t>
      </w:r>
    </w:p>
    <w:p w:rsidR="00BF77EA" w:rsidRDefault="00BF77EA" w:rsidP="00BF77EA">
      <w:pPr>
        <w:pStyle w:val="a3"/>
        <w:spacing w:line="280" w:lineRule="atLeast"/>
        <w:jc w:val="both"/>
      </w:pPr>
    </w:p>
    <w:p w:rsidR="00BF77EA" w:rsidRDefault="00BF77EA" w:rsidP="009811BE">
      <w:pPr>
        <w:pStyle w:val="a3"/>
        <w:numPr>
          <w:ilvl w:val="0"/>
          <w:numId w:val="3"/>
        </w:numPr>
        <w:spacing w:line="280" w:lineRule="atLeast"/>
        <w:jc w:val="both"/>
      </w:pPr>
      <w:r>
        <w:rPr>
          <w:rFonts w:hint="cs"/>
          <w:rtl/>
        </w:rPr>
        <w:t xml:space="preserve">ביום 27.2.2019 פנתה העותרת אל המשיבים בהתאם לחוק </w:t>
      </w:r>
      <w:r w:rsidR="009811BE">
        <w:rPr>
          <w:rFonts w:hint="cs"/>
          <w:rtl/>
        </w:rPr>
        <w:t>ההנמקות</w:t>
      </w:r>
      <w:r>
        <w:rPr>
          <w:rFonts w:hint="cs"/>
          <w:rtl/>
        </w:rPr>
        <w:t>. בפנייתה זו דרשה העותרת, בין היתר, כי המשיבים ינקטו בהליכי פיקוח ואכיפה כנגד מוסך (המכונה "המוסך של נור") שנבנה ומופעל ללא כל היתר ובניגוד לכל דין.</w:t>
      </w:r>
    </w:p>
    <w:p w:rsidR="00BF77EA" w:rsidRDefault="00BF77EA" w:rsidP="00BF77EA">
      <w:pPr>
        <w:pStyle w:val="a3"/>
        <w:spacing w:line="280" w:lineRule="atLeast"/>
        <w:ind w:left="716"/>
        <w:jc w:val="both"/>
        <w:rPr>
          <w:rtl/>
        </w:rPr>
      </w:pPr>
    </w:p>
    <w:p w:rsidR="00BF77EA" w:rsidRPr="00BF77EA" w:rsidRDefault="00BF77EA" w:rsidP="009811BE">
      <w:pPr>
        <w:pStyle w:val="a3"/>
        <w:spacing w:line="280" w:lineRule="atLeast"/>
        <w:ind w:left="716"/>
        <w:jc w:val="both"/>
        <w:rPr>
          <w:b/>
          <w:bCs/>
        </w:rPr>
      </w:pPr>
      <w:r w:rsidRPr="00BF77EA">
        <w:rPr>
          <w:rFonts w:hint="cs"/>
          <w:b/>
          <w:bCs/>
          <w:rtl/>
        </w:rPr>
        <w:t xml:space="preserve">מצ"ב העתק פניית העותרת מיום 27.2.2019, ומסומן </w:t>
      </w:r>
      <w:r w:rsidRPr="00BF77EA">
        <w:rPr>
          <w:rFonts w:hint="cs"/>
          <w:b/>
          <w:bCs/>
          <w:u w:val="single"/>
          <w:rtl/>
        </w:rPr>
        <w:t xml:space="preserve">כנספח </w:t>
      </w:r>
      <w:r w:rsidR="009811BE">
        <w:rPr>
          <w:rFonts w:hint="cs"/>
          <w:b/>
          <w:bCs/>
          <w:u w:val="single"/>
          <w:rtl/>
        </w:rPr>
        <w:t>ג</w:t>
      </w:r>
      <w:r w:rsidRPr="00BF77EA">
        <w:rPr>
          <w:rFonts w:hint="cs"/>
          <w:b/>
          <w:bCs/>
          <w:u w:val="single"/>
          <w:rtl/>
        </w:rPr>
        <w:t>' לעתירה</w:t>
      </w:r>
      <w:r w:rsidRPr="00BF77EA">
        <w:rPr>
          <w:rFonts w:hint="cs"/>
          <w:b/>
          <w:bCs/>
          <w:rtl/>
        </w:rPr>
        <w:t>.</w:t>
      </w:r>
    </w:p>
    <w:p w:rsidR="00BF77EA" w:rsidRDefault="00BF77EA" w:rsidP="00BF77EA">
      <w:pPr>
        <w:pStyle w:val="a3"/>
        <w:spacing w:line="280" w:lineRule="atLeast"/>
        <w:ind w:left="716"/>
        <w:jc w:val="both"/>
      </w:pPr>
    </w:p>
    <w:p w:rsidR="00BF77EA" w:rsidRDefault="00BF77EA" w:rsidP="00F53184">
      <w:pPr>
        <w:pStyle w:val="a3"/>
        <w:numPr>
          <w:ilvl w:val="0"/>
          <w:numId w:val="3"/>
        </w:numPr>
        <w:spacing w:line="280" w:lineRule="atLeast"/>
        <w:jc w:val="both"/>
      </w:pPr>
      <w:r>
        <w:rPr>
          <w:rFonts w:hint="cs"/>
          <w:rtl/>
        </w:rPr>
        <w:t xml:space="preserve">ביום </w:t>
      </w:r>
      <w:r w:rsidR="00F53184">
        <w:rPr>
          <w:rFonts w:hint="cs"/>
          <w:rtl/>
        </w:rPr>
        <w:t>26.3.2019</w:t>
      </w:r>
      <w:r>
        <w:rPr>
          <w:rFonts w:hint="cs"/>
          <w:rtl/>
        </w:rPr>
        <w:t xml:space="preserve"> התקבלה במשרד הח"מ תשובה לאקונית מטעם המשיב 3, לפיה הודיע כי במידת הצורך ינקטו הליכי פיקוח ואכיפה בהתאם לנהלים, ומימוש האכיפה יקבע בהתאם לסדרי העדיפויות.</w:t>
      </w:r>
    </w:p>
    <w:p w:rsidR="00BF77EA" w:rsidRDefault="00BF77EA" w:rsidP="00BF77EA">
      <w:pPr>
        <w:pStyle w:val="a3"/>
        <w:spacing w:line="280" w:lineRule="atLeast"/>
        <w:ind w:left="716"/>
        <w:jc w:val="both"/>
        <w:rPr>
          <w:rtl/>
        </w:rPr>
      </w:pPr>
    </w:p>
    <w:p w:rsidR="00BF77EA" w:rsidRPr="00055B4A" w:rsidRDefault="00BF77EA" w:rsidP="009811BE">
      <w:pPr>
        <w:pStyle w:val="a3"/>
        <w:spacing w:line="280" w:lineRule="atLeast"/>
        <w:ind w:left="716"/>
        <w:jc w:val="both"/>
        <w:rPr>
          <w:b/>
          <w:bCs/>
          <w:rtl/>
        </w:rPr>
      </w:pPr>
      <w:r w:rsidRPr="00055B4A">
        <w:rPr>
          <w:rFonts w:hint="cs"/>
          <w:b/>
          <w:bCs/>
          <w:rtl/>
        </w:rPr>
        <w:t xml:space="preserve">מצ"ב העתק </w:t>
      </w:r>
      <w:r>
        <w:rPr>
          <w:rFonts w:hint="cs"/>
          <w:b/>
          <w:bCs/>
          <w:rtl/>
        </w:rPr>
        <w:t>תשובת המשיב 3</w:t>
      </w:r>
      <w:r w:rsidRPr="00055B4A">
        <w:rPr>
          <w:rFonts w:hint="cs"/>
          <w:b/>
          <w:bCs/>
          <w:rtl/>
        </w:rPr>
        <w:t xml:space="preserve"> מיום </w:t>
      </w:r>
      <w:r w:rsidR="00F53184">
        <w:rPr>
          <w:rFonts w:hint="cs"/>
          <w:b/>
          <w:bCs/>
          <w:rtl/>
        </w:rPr>
        <w:t>26.3.2019</w:t>
      </w:r>
      <w:r w:rsidRPr="00055B4A">
        <w:rPr>
          <w:rFonts w:hint="cs"/>
          <w:b/>
          <w:bCs/>
          <w:rtl/>
        </w:rPr>
        <w:t xml:space="preserve">, ומסומן </w:t>
      </w:r>
      <w:r w:rsidRPr="00055B4A">
        <w:rPr>
          <w:rFonts w:hint="cs"/>
          <w:b/>
          <w:bCs/>
          <w:u w:val="single"/>
          <w:rtl/>
        </w:rPr>
        <w:t xml:space="preserve">כנספח </w:t>
      </w:r>
      <w:r w:rsidR="009811BE">
        <w:rPr>
          <w:rFonts w:hint="cs"/>
          <w:b/>
          <w:bCs/>
          <w:u w:val="single"/>
          <w:rtl/>
        </w:rPr>
        <w:t>ד</w:t>
      </w:r>
      <w:r w:rsidR="00F53184">
        <w:rPr>
          <w:rFonts w:hint="cs"/>
          <w:b/>
          <w:bCs/>
          <w:u w:val="single"/>
          <w:rtl/>
        </w:rPr>
        <w:t>' לעתירה</w:t>
      </w:r>
      <w:r w:rsidRPr="00055B4A">
        <w:rPr>
          <w:rFonts w:hint="cs"/>
          <w:b/>
          <w:bCs/>
          <w:rtl/>
        </w:rPr>
        <w:t>.</w:t>
      </w:r>
    </w:p>
    <w:p w:rsidR="005B7C1E" w:rsidRDefault="005B7C1E" w:rsidP="00BF77EA">
      <w:pPr>
        <w:spacing w:line="280" w:lineRule="atLeast"/>
        <w:ind w:left="716"/>
        <w:jc w:val="both"/>
      </w:pPr>
    </w:p>
    <w:p w:rsidR="00810CC7" w:rsidRDefault="009811BE" w:rsidP="00810CC7">
      <w:pPr>
        <w:pStyle w:val="a7"/>
        <w:numPr>
          <w:ilvl w:val="0"/>
          <w:numId w:val="3"/>
        </w:numPr>
        <w:jc w:val="both"/>
      </w:pPr>
      <w:r>
        <w:rPr>
          <w:rFonts w:hint="cs"/>
          <w:rtl/>
        </w:rPr>
        <w:t>חרף תשובת המשיב 3 לעיל, עד מועד זה לא ננקטו כל הליכי אכיפה כנגד מבנה המוסך הבלתי חוקי והלה עומד על מכונו באין כל מפריע מצד רשויות  האכיפה.</w:t>
      </w:r>
    </w:p>
    <w:p w:rsidR="009811BE" w:rsidRDefault="009811BE" w:rsidP="009811BE">
      <w:pPr>
        <w:pStyle w:val="a7"/>
        <w:ind w:left="716"/>
        <w:jc w:val="both"/>
      </w:pPr>
    </w:p>
    <w:p w:rsidR="00164066" w:rsidRDefault="00164066" w:rsidP="00164066">
      <w:pPr>
        <w:numPr>
          <w:ilvl w:val="0"/>
          <w:numId w:val="3"/>
        </w:numPr>
        <w:spacing w:line="280" w:lineRule="atLeast"/>
        <w:jc w:val="both"/>
      </w:pPr>
      <w:r>
        <w:rPr>
          <w:rFonts w:hint="cs"/>
          <w:rtl/>
        </w:rPr>
        <w:t>כפי שניתן להיווכח, מדיניות אי האכיפה משתרשת היטב בשטח והעבריינים מנצלים את אוזלת ידן של רשויות האכיפה לשם הרחבת פעילותם העבריינית והמסוכנת באזור.</w:t>
      </w:r>
    </w:p>
    <w:p w:rsidR="00164066" w:rsidRDefault="00164066" w:rsidP="00164066">
      <w:pPr>
        <w:pStyle w:val="a7"/>
        <w:spacing w:line="280" w:lineRule="atLeast"/>
      </w:pPr>
    </w:p>
    <w:p w:rsidR="00164066" w:rsidRDefault="00164066" w:rsidP="005E7D19">
      <w:pPr>
        <w:numPr>
          <w:ilvl w:val="0"/>
          <w:numId w:val="3"/>
        </w:numPr>
        <w:spacing w:line="280" w:lineRule="atLeast"/>
        <w:jc w:val="both"/>
        <w:rPr>
          <w:b/>
          <w:bCs/>
          <w:u w:val="single"/>
        </w:rPr>
      </w:pPr>
      <w:r>
        <w:rPr>
          <w:rFonts w:hint="cs"/>
          <w:b/>
          <w:bCs/>
          <w:u w:val="single"/>
          <w:rtl/>
        </w:rPr>
        <w:t xml:space="preserve">העותרת תטען כי יש לייחס חומרה רבה להפעלת בתי העסק הבלתי חוקיים במיקומם זה, שכן מעבר לעובדה כי בתי עסק אלו נבנו ללא היתרי בניה ובניגוד לכל דין, וללא קבלת רישיון נדרש להפעלת בית עסק, אלא גם שהפעלת העסקים בסמיכות כה גדולה </w:t>
      </w:r>
      <w:r w:rsidR="005E7D19">
        <w:rPr>
          <w:rFonts w:hint="cs"/>
          <w:b/>
          <w:bCs/>
          <w:u w:val="single"/>
          <w:rtl/>
        </w:rPr>
        <w:t>לציר הגישה לישוב גבעון החדשה</w:t>
      </w:r>
      <w:r>
        <w:rPr>
          <w:rFonts w:hint="cs"/>
          <w:b/>
          <w:bCs/>
          <w:u w:val="single"/>
          <w:rtl/>
        </w:rPr>
        <w:t xml:space="preserve">, מהווה מפגע בטיחותי וביטחוני ראשון במעלה, וממילא ברי כי על המשיבים להעמיד בראש סדרי העדיפויות את אכיפת החוק במקרה דנן. </w:t>
      </w:r>
    </w:p>
    <w:p w:rsidR="00164066" w:rsidRDefault="00164066" w:rsidP="00164066">
      <w:pPr>
        <w:pStyle w:val="a7"/>
        <w:rPr>
          <w:b/>
          <w:bCs/>
          <w:u w:val="single"/>
          <w:rtl/>
        </w:rPr>
      </w:pPr>
    </w:p>
    <w:p w:rsidR="00164066" w:rsidRDefault="00164066" w:rsidP="005E7D19">
      <w:pPr>
        <w:numPr>
          <w:ilvl w:val="0"/>
          <w:numId w:val="3"/>
        </w:numPr>
        <w:spacing w:line="280" w:lineRule="atLeast"/>
        <w:jc w:val="both"/>
        <w:rPr>
          <w:b/>
          <w:bCs/>
          <w:u w:val="single"/>
        </w:rPr>
      </w:pPr>
      <w:r>
        <w:rPr>
          <w:rFonts w:hint="cs"/>
          <w:b/>
          <w:bCs/>
          <w:u w:val="single"/>
          <w:rtl/>
        </w:rPr>
        <w:t>זאת ועוד</w:t>
      </w:r>
      <w:r w:rsidR="005E7D19">
        <w:rPr>
          <w:rFonts w:hint="cs"/>
          <w:b/>
          <w:bCs/>
          <w:u w:val="single"/>
          <w:rtl/>
        </w:rPr>
        <w:t xml:space="preserve"> וכאמור לעיל, מבנים בלתי חוקיים אלו הוקמו בשנית על חורבות מבנים שנהרסו על ידי רשויות האכיפה, תוך זלזול בוטה של עברייני הבניה בשלטון החוק וברשויות האכיפה במקום</w:t>
      </w:r>
      <w:r>
        <w:rPr>
          <w:rFonts w:hint="cs"/>
          <w:b/>
          <w:bCs/>
          <w:u w:val="single"/>
          <w:rtl/>
        </w:rPr>
        <w:t xml:space="preserve">. </w:t>
      </w:r>
    </w:p>
    <w:p w:rsidR="00164066" w:rsidRPr="005C0CD8" w:rsidRDefault="00164066" w:rsidP="00164066">
      <w:pPr>
        <w:spacing w:line="280" w:lineRule="atLeast"/>
      </w:pPr>
    </w:p>
    <w:p w:rsidR="00164066" w:rsidRPr="006B242C" w:rsidRDefault="00164066" w:rsidP="00164066">
      <w:pPr>
        <w:numPr>
          <w:ilvl w:val="0"/>
          <w:numId w:val="3"/>
        </w:numPr>
        <w:spacing w:line="280" w:lineRule="atLeast"/>
        <w:jc w:val="both"/>
        <w:rPr>
          <w:rFonts w:ascii="Arial" w:hAnsi="Arial"/>
          <w:rtl/>
        </w:rPr>
      </w:pPr>
      <w:r>
        <w:rPr>
          <w:rFonts w:ascii="Arial" w:hAnsi="Arial" w:hint="cs"/>
          <w:rtl/>
        </w:rPr>
        <w:t xml:space="preserve">עובדה זו מקצינה את חוסר הסבירות שבמחדלי המשיבים והחלטתם לשבת מנגד ולהתפרק הלכה למעשה מחובתם לאכוף את החוק באזור זה ולשמר את הסדר הציבורי וביטחון הפנים באזור. </w:t>
      </w:r>
    </w:p>
    <w:p w:rsidR="00164066" w:rsidRDefault="00164066" w:rsidP="00164066">
      <w:pPr>
        <w:pStyle w:val="a3"/>
        <w:tabs>
          <w:tab w:val="left" w:pos="720"/>
        </w:tabs>
        <w:spacing w:line="280" w:lineRule="atLeast"/>
        <w:jc w:val="both"/>
      </w:pPr>
    </w:p>
    <w:p w:rsidR="00164066" w:rsidRDefault="00164066" w:rsidP="005E7D19">
      <w:pPr>
        <w:numPr>
          <w:ilvl w:val="0"/>
          <w:numId w:val="3"/>
        </w:numPr>
        <w:spacing w:line="280" w:lineRule="atLeast"/>
        <w:jc w:val="both"/>
      </w:pPr>
      <w:r>
        <w:rPr>
          <w:rFonts w:hint="cs"/>
          <w:rtl/>
        </w:rPr>
        <w:t xml:space="preserve">לצערה הרב של העותרת, אין בהתנערותם של המשיבים מחובתם לאכוף את החוק באזור זה כל חדש. למעשה, לא רק שהמשיבים האמונים על אכיפת החוק ושמירת הסדר הציבורי וביטחון הפנים לא פועלים לשם כך, אלא שהם מסייעים בעקיפין לעבריינים מקרב האוכלוסייה הערבית להמשיך בהפרות החוק הנעשות על ידם, הגורמות </w:t>
      </w:r>
      <w:r w:rsidR="005E7D19">
        <w:rPr>
          <w:rFonts w:hint="cs"/>
          <w:rtl/>
        </w:rPr>
        <w:t>לסיכון חיי אדם</w:t>
      </w:r>
      <w:r>
        <w:rPr>
          <w:rFonts w:hint="cs"/>
          <w:rtl/>
        </w:rPr>
        <w:t xml:space="preserve"> בפועל ממש. </w:t>
      </w:r>
    </w:p>
    <w:p w:rsidR="00164066" w:rsidRDefault="00164066" w:rsidP="00164066">
      <w:pPr>
        <w:pStyle w:val="a7"/>
        <w:spacing w:line="280" w:lineRule="atLeast"/>
      </w:pPr>
    </w:p>
    <w:p w:rsidR="00164066" w:rsidRDefault="00164066" w:rsidP="00164066">
      <w:pPr>
        <w:numPr>
          <w:ilvl w:val="0"/>
          <w:numId w:val="3"/>
        </w:numPr>
        <w:spacing w:line="280" w:lineRule="atLeast"/>
        <w:jc w:val="both"/>
        <w:rPr>
          <w:b/>
          <w:bCs/>
          <w:rtl/>
        </w:rPr>
      </w:pPr>
      <w:r>
        <w:rPr>
          <w:rFonts w:hint="cs"/>
          <w:b/>
          <w:bCs/>
          <w:rtl/>
        </w:rPr>
        <w:t xml:space="preserve">ויובהר – כי מדיניות אי המעש של הרשויות בכל הנוגע לעבירות הבניה הביאה למצב שבאזור זה אין דין ואין דיין ואיש הישר בעיניו יעשה. דהיינו, העבריינים הבינו שכשם שאין אכיפה בכל הנוגע לעבירות הבניה אותם הם מבצעים באופן שיטתי, כך גם אין אכיפה אף לגבי יתר החוקים החלים באזור </w:t>
      </w:r>
      <w:r>
        <w:rPr>
          <w:b/>
          <w:bCs/>
          <w:rtl/>
        </w:rPr>
        <w:t>–</w:t>
      </w:r>
      <w:r>
        <w:rPr>
          <w:rFonts w:hint="cs"/>
          <w:b/>
          <w:bCs/>
          <w:rtl/>
        </w:rPr>
        <w:t xml:space="preserve"> ובכלל זה חוקי רישוי עסקים והתנועה, וממילא נראה כי מרשים הם לעצמם לנצל את העובדה ולהפעיל בתי עסק באופן בלתי חוקי וללא כל רישיון, בצמוד ממש לכביש ראשי במרחב, תוך סיכון חיי אדם ופגיעה בביטחונם.</w:t>
      </w:r>
    </w:p>
    <w:p w:rsidR="00164066" w:rsidRDefault="00164066" w:rsidP="00164066">
      <w:pPr>
        <w:spacing w:line="280" w:lineRule="atLeast"/>
        <w:jc w:val="both"/>
      </w:pPr>
    </w:p>
    <w:p w:rsidR="00164066" w:rsidRPr="00F93B01" w:rsidRDefault="00164066" w:rsidP="00F93B01">
      <w:pPr>
        <w:numPr>
          <w:ilvl w:val="0"/>
          <w:numId w:val="4"/>
        </w:numPr>
        <w:spacing w:line="280" w:lineRule="atLeast"/>
        <w:jc w:val="both"/>
        <w:rPr>
          <w:b/>
          <w:bCs/>
          <w:u w:val="single"/>
        </w:rPr>
      </w:pPr>
      <w:r w:rsidRPr="0084740C">
        <w:rPr>
          <w:rFonts w:hint="cs"/>
          <w:b/>
          <w:bCs/>
          <w:u w:val="single"/>
          <w:rtl/>
        </w:rPr>
        <w:t xml:space="preserve">המשיבים מתנערים מחובתם ומאפשרים את המשך הפעלת בתי העסק </w:t>
      </w:r>
      <w:r w:rsidR="00F93B01">
        <w:rPr>
          <w:rFonts w:hint="cs"/>
          <w:b/>
          <w:bCs/>
          <w:u w:val="single"/>
          <w:rtl/>
        </w:rPr>
        <w:t xml:space="preserve">שנבנו </w:t>
      </w:r>
      <w:r w:rsidRPr="0084740C">
        <w:rPr>
          <w:rFonts w:hint="cs"/>
          <w:b/>
          <w:bCs/>
          <w:u w:val="single"/>
          <w:rtl/>
        </w:rPr>
        <w:t>באופן בלתי חוקי</w:t>
      </w:r>
      <w:r w:rsidR="00F93B01">
        <w:rPr>
          <w:rFonts w:hint="cs"/>
          <w:b/>
          <w:bCs/>
          <w:u w:val="single"/>
          <w:rtl/>
        </w:rPr>
        <w:t xml:space="preserve"> וללא היתרי בניה</w:t>
      </w:r>
      <w:r w:rsidRPr="0084740C">
        <w:rPr>
          <w:rFonts w:hint="cs"/>
          <w:b/>
          <w:bCs/>
          <w:u w:val="single"/>
          <w:rtl/>
        </w:rPr>
        <w:t>, חרף העובדה כי הפעלתם גורמת לסיכון ממשי לחיי הנוסעים בכביש הסמוך ולקהל לקוחותיהם של בתי העסק.</w:t>
      </w:r>
      <w:r w:rsidR="00F93B01">
        <w:rPr>
          <w:rFonts w:hint="cs"/>
          <w:b/>
          <w:bCs/>
          <w:u w:val="single"/>
          <w:rtl/>
        </w:rPr>
        <w:t xml:space="preserve"> </w:t>
      </w:r>
      <w:r>
        <w:rPr>
          <w:rFonts w:hint="cs"/>
          <w:rtl/>
        </w:rPr>
        <w:t xml:space="preserve">ולעותרת לא נותר אלא לחזור ולתהות – מדוע ולמה לא פועלים המשיבים לאכיפת החוק כנגד המבנים הבלתי חוקיים ומאפשרים לעבריינים את המשך ההחזקה והפעלת העסק מהם, בטח ובטח לנוכח הסכנה הבטיחותית והביטחונית הכרוכה בהקמת והפעלת בתי עסק בסמיכות כה גדולה לכביש ראשי במרחב </w:t>
      </w:r>
      <w:r>
        <w:rPr>
          <w:rtl/>
        </w:rPr>
        <w:t>–</w:t>
      </w:r>
      <w:r>
        <w:rPr>
          <w:rFonts w:hint="cs"/>
          <w:rtl/>
        </w:rPr>
        <w:t xml:space="preserve"> אם מצב זה לא נמצא בראש סדרי העדיפויות של המשיבים מה כן נמצא???</w:t>
      </w:r>
    </w:p>
    <w:p w:rsidR="00164066" w:rsidRPr="00982052" w:rsidRDefault="00164066" w:rsidP="00164066">
      <w:pPr>
        <w:spacing w:line="280" w:lineRule="atLeast"/>
        <w:ind w:right="716"/>
        <w:jc w:val="both"/>
        <w:rPr>
          <w:rtl/>
        </w:rPr>
      </w:pPr>
    </w:p>
    <w:p w:rsidR="00164066" w:rsidRPr="00162EA2" w:rsidRDefault="00164066" w:rsidP="00164066">
      <w:pPr>
        <w:numPr>
          <w:ilvl w:val="0"/>
          <w:numId w:val="4"/>
        </w:numPr>
        <w:spacing w:line="280" w:lineRule="atLeast"/>
        <w:jc w:val="both"/>
      </w:pPr>
      <w:r>
        <w:rPr>
          <w:rFonts w:hint="cs"/>
          <w:rtl/>
        </w:rPr>
        <w:t>העותרת תשוב ותדגיש כי לפי כל הקריטריונים שתוארו לעיל ברי כי הוצאת ומימוש צווי הריסה למבנים הבלתי חוקיים היה אמור לעמוד בראש סדרי עדיפויות של המשיבים, שכן, כנ"ל:</w:t>
      </w:r>
    </w:p>
    <w:p w:rsidR="00164066" w:rsidRDefault="00164066" w:rsidP="00164066">
      <w:pPr>
        <w:pStyle w:val="a7"/>
        <w:spacing w:line="280" w:lineRule="atLeast"/>
        <w:ind w:left="1106" w:right="716"/>
        <w:jc w:val="both"/>
      </w:pPr>
    </w:p>
    <w:p w:rsidR="00164066" w:rsidRDefault="00164066" w:rsidP="00F93B01">
      <w:pPr>
        <w:numPr>
          <w:ilvl w:val="1"/>
          <w:numId w:val="4"/>
        </w:numPr>
        <w:spacing w:line="280" w:lineRule="atLeast"/>
        <w:jc w:val="both"/>
      </w:pPr>
      <w:r>
        <w:rPr>
          <w:rFonts w:hint="cs"/>
          <w:b/>
          <w:bCs/>
          <w:u w:val="single"/>
          <w:rtl/>
        </w:rPr>
        <w:t>בתי העסק הוקמו</w:t>
      </w:r>
      <w:r w:rsidRPr="00A17B3F">
        <w:rPr>
          <w:rFonts w:hint="cs"/>
          <w:b/>
          <w:bCs/>
          <w:u w:val="single"/>
          <w:rtl/>
        </w:rPr>
        <w:t xml:space="preserve"> בסמיכות ל</w:t>
      </w:r>
      <w:r>
        <w:rPr>
          <w:rFonts w:hint="cs"/>
          <w:b/>
          <w:bCs/>
          <w:u w:val="single"/>
          <w:rtl/>
        </w:rPr>
        <w:t>צ</w:t>
      </w:r>
      <w:r w:rsidR="00F93B01">
        <w:rPr>
          <w:rFonts w:hint="cs"/>
          <w:b/>
          <w:bCs/>
          <w:u w:val="single"/>
          <w:rtl/>
        </w:rPr>
        <w:t>יר הגישה לישוב גבעון החדשה</w:t>
      </w:r>
      <w:r w:rsidR="002111CA">
        <w:rPr>
          <w:rFonts w:hint="cs"/>
          <w:b/>
          <w:bCs/>
          <w:u w:val="single"/>
          <w:rtl/>
        </w:rPr>
        <w:t>, בניגוד לצו איסור בניה החל במקום</w:t>
      </w:r>
      <w:r w:rsidR="00F93B01">
        <w:rPr>
          <w:rFonts w:hint="cs"/>
          <w:b/>
          <w:bCs/>
          <w:u w:val="single"/>
          <w:rtl/>
        </w:rPr>
        <w:t>.</w:t>
      </w:r>
    </w:p>
    <w:p w:rsidR="00164066" w:rsidRPr="00982052" w:rsidRDefault="00164066" w:rsidP="00164066">
      <w:pPr>
        <w:spacing w:line="280" w:lineRule="atLeast"/>
        <w:ind w:right="716"/>
        <w:jc w:val="both"/>
        <w:rPr>
          <w:rtl/>
        </w:rPr>
      </w:pPr>
    </w:p>
    <w:p w:rsidR="00164066" w:rsidRDefault="00164066" w:rsidP="00164066">
      <w:pPr>
        <w:numPr>
          <w:ilvl w:val="1"/>
          <w:numId w:val="4"/>
        </w:numPr>
        <w:spacing w:line="280" w:lineRule="atLeast"/>
        <w:jc w:val="both"/>
      </w:pPr>
      <w:r w:rsidRPr="00A17B3F">
        <w:rPr>
          <w:rFonts w:hint="cs"/>
          <w:b/>
          <w:bCs/>
          <w:u w:val="single"/>
          <w:rtl/>
        </w:rPr>
        <w:t xml:space="preserve">מיקום </w:t>
      </w:r>
      <w:r>
        <w:rPr>
          <w:rFonts w:hint="cs"/>
          <w:b/>
          <w:bCs/>
          <w:u w:val="single"/>
          <w:rtl/>
        </w:rPr>
        <w:t>בתי העסק</w:t>
      </w:r>
      <w:r w:rsidRPr="00A17B3F">
        <w:rPr>
          <w:rFonts w:hint="cs"/>
          <w:b/>
          <w:bCs/>
          <w:u w:val="single"/>
          <w:rtl/>
        </w:rPr>
        <w:t xml:space="preserve"> </w:t>
      </w:r>
      <w:r>
        <w:rPr>
          <w:rFonts w:hint="cs"/>
          <w:b/>
          <w:bCs/>
          <w:u w:val="single"/>
          <w:rtl/>
        </w:rPr>
        <w:t>מ</w:t>
      </w:r>
      <w:r w:rsidRPr="00A17B3F">
        <w:rPr>
          <w:rFonts w:hint="cs"/>
          <w:b/>
          <w:bCs/>
          <w:u w:val="single"/>
          <w:rtl/>
        </w:rPr>
        <w:t xml:space="preserve">הווה סכנה </w:t>
      </w:r>
      <w:r>
        <w:rPr>
          <w:rFonts w:hint="cs"/>
          <w:b/>
          <w:bCs/>
          <w:u w:val="single"/>
          <w:rtl/>
        </w:rPr>
        <w:t>לחיי אדם, מהפן הבטיחותי ואף מהפן הביטחוני.</w:t>
      </w:r>
    </w:p>
    <w:p w:rsidR="00164066" w:rsidRDefault="00164066" w:rsidP="00164066">
      <w:pPr>
        <w:pStyle w:val="a7"/>
        <w:rPr>
          <w:rtl/>
        </w:rPr>
      </w:pPr>
    </w:p>
    <w:p w:rsidR="00164066" w:rsidRDefault="00164066" w:rsidP="00164066">
      <w:pPr>
        <w:numPr>
          <w:ilvl w:val="1"/>
          <w:numId w:val="4"/>
        </w:numPr>
        <w:spacing w:line="280" w:lineRule="atLeast"/>
        <w:jc w:val="both"/>
        <w:rPr>
          <w:b/>
          <w:bCs/>
          <w:u w:val="single"/>
        </w:rPr>
      </w:pPr>
      <w:r w:rsidRPr="00982052">
        <w:rPr>
          <w:rFonts w:hint="cs"/>
          <w:b/>
          <w:bCs/>
          <w:u w:val="single"/>
          <w:rtl/>
        </w:rPr>
        <w:t>בתי העסק מופעלים ללא כל רישיון להפעלת עסק.</w:t>
      </w:r>
    </w:p>
    <w:p w:rsidR="00F93B01" w:rsidRDefault="00F93B01" w:rsidP="00F93B01">
      <w:pPr>
        <w:pStyle w:val="a7"/>
        <w:rPr>
          <w:b/>
          <w:bCs/>
          <w:u w:val="single"/>
          <w:rtl/>
        </w:rPr>
      </w:pPr>
    </w:p>
    <w:p w:rsidR="00F93B01" w:rsidRPr="00982052" w:rsidRDefault="00F93B01" w:rsidP="00164066">
      <w:pPr>
        <w:numPr>
          <w:ilvl w:val="1"/>
          <w:numId w:val="4"/>
        </w:numPr>
        <w:spacing w:line="280" w:lineRule="atLeast"/>
        <w:jc w:val="both"/>
        <w:rPr>
          <w:b/>
          <w:bCs/>
          <w:u w:val="single"/>
          <w:rtl/>
        </w:rPr>
      </w:pPr>
      <w:r>
        <w:rPr>
          <w:rFonts w:hint="cs"/>
          <w:b/>
          <w:bCs/>
          <w:u w:val="single"/>
          <w:rtl/>
        </w:rPr>
        <w:t>מבנים בלתי חוקיים אלו נבנו בשנית חרף צו ההריסה שעמד כנגדם, תוך ביזוי וזלזול בשלטון החוק ורשויות האכיפה.</w:t>
      </w:r>
    </w:p>
    <w:p w:rsidR="00164066" w:rsidRDefault="00164066" w:rsidP="00164066">
      <w:pPr>
        <w:pStyle w:val="a7"/>
        <w:spacing w:line="280" w:lineRule="atLeast"/>
      </w:pPr>
    </w:p>
    <w:p w:rsidR="00164066" w:rsidRDefault="00164066" w:rsidP="00164066">
      <w:pPr>
        <w:numPr>
          <w:ilvl w:val="0"/>
          <w:numId w:val="3"/>
        </w:numPr>
        <w:spacing w:line="280" w:lineRule="atLeast"/>
        <w:jc w:val="both"/>
        <w:rPr>
          <w:rtl/>
        </w:rPr>
      </w:pPr>
      <w:r>
        <w:rPr>
          <w:rFonts w:hint="cs"/>
          <w:rtl/>
        </w:rPr>
        <w:t xml:space="preserve">בנסיבות אלה, לא נותר לעותרת אלא לפנות לבית המשפט הנכבד בגדרי עתירה זו. </w:t>
      </w:r>
    </w:p>
    <w:p w:rsidR="00164066" w:rsidRDefault="00164066" w:rsidP="00164066">
      <w:pPr>
        <w:spacing w:line="280" w:lineRule="atLeast"/>
        <w:ind w:right="716"/>
        <w:jc w:val="both"/>
      </w:pPr>
    </w:p>
    <w:p w:rsidR="00164066" w:rsidRDefault="00164066" w:rsidP="00164066">
      <w:pPr>
        <w:numPr>
          <w:ilvl w:val="0"/>
          <w:numId w:val="2"/>
        </w:numPr>
        <w:tabs>
          <w:tab w:val="num" w:pos="651"/>
        </w:tabs>
        <w:spacing w:line="280" w:lineRule="atLeast"/>
        <w:ind w:right="1080" w:hanging="996"/>
        <w:jc w:val="both"/>
        <w:rPr>
          <w:b/>
          <w:bCs/>
          <w:sz w:val="28"/>
          <w:szCs w:val="28"/>
        </w:rPr>
      </w:pPr>
      <w:r w:rsidRPr="00812382">
        <w:rPr>
          <w:rFonts w:hint="cs"/>
          <w:b/>
          <w:bCs/>
          <w:sz w:val="28"/>
          <w:szCs w:val="28"/>
          <w:rtl/>
        </w:rPr>
        <w:t>הטיעון המשפטי:</w:t>
      </w:r>
    </w:p>
    <w:p w:rsidR="00F93B01" w:rsidRPr="00812382" w:rsidRDefault="00F93B01" w:rsidP="00F93B01">
      <w:pPr>
        <w:spacing w:line="280" w:lineRule="atLeast"/>
        <w:ind w:left="1080" w:right="1080"/>
        <w:jc w:val="both"/>
        <w:rPr>
          <w:b/>
          <w:bCs/>
          <w:sz w:val="28"/>
          <w:szCs w:val="28"/>
        </w:rPr>
      </w:pPr>
    </w:p>
    <w:p w:rsidR="00AA0441" w:rsidRPr="00003A5B" w:rsidRDefault="00AA0441" w:rsidP="00AA0441">
      <w:pPr>
        <w:spacing w:line="280" w:lineRule="atLeast"/>
        <w:jc w:val="both"/>
        <w:rPr>
          <w:rFonts w:ascii="Arial" w:hAnsi="Arial"/>
          <w:b/>
          <w:bCs/>
          <w:rtl/>
        </w:rPr>
      </w:pPr>
      <w:r>
        <w:rPr>
          <w:rFonts w:ascii="Arial" w:hAnsi="Arial" w:hint="cs"/>
          <w:b/>
          <w:bCs/>
          <w:rtl/>
        </w:rPr>
        <w:t>סמכות ואחריות מדינת</w:t>
      </w:r>
      <w:r w:rsidRPr="00003A5B">
        <w:rPr>
          <w:rFonts w:ascii="Arial" w:hAnsi="Arial" w:hint="cs"/>
          <w:b/>
          <w:bCs/>
          <w:rtl/>
        </w:rPr>
        <w:t xml:space="preserve"> </w:t>
      </w:r>
      <w:r>
        <w:rPr>
          <w:rFonts w:ascii="Arial" w:hAnsi="Arial" w:hint="cs"/>
          <w:b/>
          <w:bCs/>
          <w:rtl/>
        </w:rPr>
        <w:t xml:space="preserve">ישראל לשמור על בטחון הפנים והסדר הציבורי בשטח </w:t>
      </w:r>
      <w:r>
        <w:rPr>
          <w:rFonts w:ascii="Arial" w:hAnsi="Arial" w:hint="cs"/>
          <w:b/>
          <w:bCs/>
        </w:rPr>
        <w:t>C</w:t>
      </w:r>
      <w:r>
        <w:rPr>
          <w:rFonts w:ascii="Arial" w:hAnsi="Arial" w:hint="cs"/>
          <w:b/>
          <w:bCs/>
          <w:rtl/>
        </w:rPr>
        <w:t xml:space="preserve"> </w:t>
      </w:r>
      <w:r w:rsidRPr="00003A5B">
        <w:rPr>
          <w:rFonts w:ascii="Arial" w:hAnsi="Arial"/>
          <w:b/>
          <w:bCs/>
          <w:rtl/>
        </w:rPr>
        <w:t>–</w:t>
      </w:r>
      <w:r w:rsidRPr="00003A5B">
        <w:rPr>
          <w:rFonts w:ascii="Arial" w:hAnsi="Arial" w:hint="cs"/>
          <w:b/>
          <w:bCs/>
          <w:rtl/>
        </w:rPr>
        <w:t xml:space="preserve"> </w:t>
      </w:r>
    </w:p>
    <w:p w:rsidR="00AA0441" w:rsidRPr="00003A5B" w:rsidRDefault="00AA0441" w:rsidP="00AA0441">
      <w:pPr>
        <w:spacing w:line="280" w:lineRule="atLeast"/>
        <w:jc w:val="both"/>
        <w:rPr>
          <w:rFonts w:ascii="Arial" w:hAnsi="Arial"/>
          <w:rtl/>
        </w:rPr>
      </w:pPr>
    </w:p>
    <w:p w:rsidR="00AA0441" w:rsidRDefault="00AA0441" w:rsidP="00AA0441">
      <w:pPr>
        <w:pStyle w:val="a7"/>
        <w:numPr>
          <w:ilvl w:val="0"/>
          <w:numId w:val="3"/>
        </w:numPr>
        <w:jc w:val="both"/>
        <w:rPr>
          <w:rFonts w:ascii="Arial" w:hAnsi="Arial"/>
        </w:rPr>
      </w:pPr>
      <w:r>
        <w:rPr>
          <w:rFonts w:ascii="Arial" w:hAnsi="Arial" w:hint="cs"/>
          <w:rtl/>
        </w:rPr>
        <w:t xml:space="preserve">ביום 28.9.1995 נחתם הסכם הביניים הישראלי </w:t>
      </w:r>
      <w:r>
        <w:rPr>
          <w:rFonts w:ascii="Arial" w:hAnsi="Arial"/>
          <w:rtl/>
        </w:rPr>
        <w:t>–</w:t>
      </w:r>
      <w:r>
        <w:rPr>
          <w:rFonts w:ascii="Arial" w:hAnsi="Arial" w:hint="cs"/>
          <w:rtl/>
        </w:rPr>
        <w:t xml:space="preserve"> פלסטיני בגדה המערבית ורצועת עזה (</w:t>
      </w:r>
      <w:r w:rsidRPr="00AA0441">
        <w:rPr>
          <w:rFonts w:hint="cs"/>
          <w:rtl/>
        </w:rPr>
        <w:t>להלן</w:t>
      </w:r>
      <w:r>
        <w:rPr>
          <w:rFonts w:ascii="Arial" w:hAnsi="Arial" w:hint="cs"/>
          <w:rtl/>
        </w:rPr>
        <w:t xml:space="preserve">: </w:t>
      </w:r>
      <w:r w:rsidRPr="00C54DBC">
        <w:rPr>
          <w:rFonts w:ascii="Arial" w:hAnsi="Arial" w:hint="cs"/>
          <w:b/>
          <w:bCs/>
          <w:rtl/>
        </w:rPr>
        <w:t>"הסכם הביניים"</w:t>
      </w:r>
      <w:r>
        <w:rPr>
          <w:rFonts w:ascii="Arial" w:hAnsi="Arial" w:hint="cs"/>
          <w:rtl/>
        </w:rPr>
        <w:t>).</w:t>
      </w:r>
    </w:p>
    <w:p w:rsidR="00AA0441" w:rsidRDefault="00AA0441" w:rsidP="00AA0441">
      <w:pPr>
        <w:pStyle w:val="a7"/>
        <w:ind w:left="716"/>
        <w:jc w:val="both"/>
        <w:rPr>
          <w:rFonts w:ascii="Arial" w:hAnsi="Arial"/>
        </w:rPr>
      </w:pPr>
    </w:p>
    <w:p w:rsidR="00AA0441" w:rsidRPr="00AA0441" w:rsidRDefault="00AA0441" w:rsidP="00AA0441">
      <w:pPr>
        <w:pStyle w:val="a7"/>
        <w:numPr>
          <w:ilvl w:val="0"/>
          <w:numId w:val="3"/>
        </w:numPr>
        <w:jc w:val="both"/>
        <w:rPr>
          <w:rFonts w:ascii="Arial" w:hAnsi="Arial"/>
        </w:rPr>
      </w:pPr>
      <w:r w:rsidRPr="00AA0441">
        <w:rPr>
          <w:rFonts w:ascii="Arial" w:hAnsi="Arial" w:hint="cs"/>
          <w:rtl/>
        </w:rPr>
        <w:t xml:space="preserve">במסגרת הסכם הביניים נקבעו, בין היתר, הסמכויות האזרחיות ביחס לשטח </w:t>
      </w:r>
      <w:r w:rsidRPr="00AA0441">
        <w:rPr>
          <w:rFonts w:ascii="Arial" w:hAnsi="Arial" w:hint="cs"/>
        </w:rPr>
        <w:t>C</w:t>
      </w:r>
      <w:r w:rsidRPr="00AA0441">
        <w:rPr>
          <w:rFonts w:ascii="Arial" w:hAnsi="Arial" w:hint="cs"/>
          <w:rtl/>
        </w:rPr>
        <w:t>.</w:t>
      </w:r>
    </w:p>
    <w:p w:rsidR="00AA0441" w:rsidRPr="007D1770" w:rsidRDefault="00AA0441" w:rsidP="00AA0441">
      <w:pPr>
        <w:pStyle w:val="a7"/>
        <w:rPr>
          <w:rFonts w:ascii="Arial" w:hAnsi="Arial"/>
          <w:rtl/>
        </w:rPr>
      </w:pPr>
    </w:p>
    <w:p w:rsidR="00AA0441" w:rsidRDefault="00AA0441" w:rsidP="00AA0441">
      <w:pPr>
        <w:pStyle w:val="a7"/>
        <w:numPr>
          <w:ilvl w:val="0"/>
          <w:numId w:val="3"/>
        </w:numPr>
        <w:jc w:val="both"/>
        <w:rPr>
          <w:rFonts w:ascii="Arial" w:hAnsi="Arial"/>
        </w:rPr>
      </w:pPr>
      <w:r>
        <w:rPr>
          <w:rFonts w:ascii="Arial" w:hAnsi="Arial" w:hint="cs"/>
          <w:rtl/>
        </w:rPr>
        <w:t xml:space="preserve">וכך נקבע בסעיף 4 לסעיף </w:t>
      </w:r>
      <w:r>
        <w:rPr>
          <w:rFonts w:ascii="Arial" w:hAnsi="Arial" w:hint="cs"/>
        </w:rPr>
        <w:t>IV</w:t>
      </w:r>
      <w:r>
        <w:rPr>
          <w:rFonts w:ascii="Arial" w:hAnsi="Arial" w:hint="cs"/>
          <w:rtl/>
        </w:rPr>
        <w:t xml:space="preserve"> להסכם הביניים, כי: </w:t>
      </w:r>
      <w:r w:rsidRPr="00982A3E">
        <w:rPr>
          <w:rFonts w:ascii="Arial" w:hAnsi="Arial" w:hint="cs"/>
          <w:b/>
          <w:bCs/>
          <w:rtl/>
        </w:rPr>
        <w:t xml:space="preserve">"העברת כוחות ואחריות באזור </w:t>
      </w:r>
      <w:r w:rsidRPr="00982A3E">
        <w:rPr>
          <w:rFonts w:ascii="Arial" w:hAnsi="Arial" w:hint="cs"/>
          <w:b/>
          <w:bCs/>
        </w:rPr>
        <w:t>C</w:t>
      </w:r>
      <w:r w:rsidRPr="00982A3E">
        <w:rPr>
          <w:rFonts w:ascii="Arial" w:hAnsi="Arial" w:hint="cs"/>
          <w:b/>
          <w:bCs/>
          <w:rtl/>
        </w:rPr>
        <w:t xml:space="preserve"> לא תשפיע על הסמכות המתמשכת של ישראל להפעיל את הכוחות והאחריות שלה ביחס לביטחון פנים וסדר ציבורי, כמו גם ביחס לכוחות ואחריות של אחרים שלא הועברו".</w:t>
      </w:r>
    </w:p>
    <w:p w:rsidR="00AA0441" w:rsidRPr="00C54DBC" w:rsidRDefault="00AA0441" w:rsidP="00AA0441">
      <w:pPr>
        <w:pStyle w:val="a7"/>
        <w:rPr>
          <w:rFonts w:ascii="Arial" w:hAnsi="Arial"/>
          <w:rtl/>
        </w:rPr>
      </w:pPr>
    </w:p>
    <w:p w:rsidR="00AA0441" w:rsidRDefault="00AA0441" w:rsidP="00AA0441">
      <w:pPr>
        <w:pStyle w:val="a7"/>
        <w:numPr>
          <w:ilvl w:val="0"/>
          <w:numId w:val="3"/>
        </w:numPr>
        <w:jc w:val="both"/>
        <w:rPr>
          <w:rFonts w:ascii="Arial" w:hAnsi="Arial"/>
        </w:rPr>
      </w:pPr>
      <w:r>
        <w:rPr>
          <w:rFonts w:ascii="Arial" w:hAnsi="Arial" w:hint="cs"/>
          <w:rtl/>
        </w:rPr>
        <w:t xml:space="preserve">דהיינו, בהתאם להוראות הסכם הביניים האחריות לשמירת ביטחון הפנים והסדר הציבורי בשטחי </w:t>
      </w:r>
      <w:r>
        <w:rPr>
          <w:rFonts w:ascii="Arial" w:hAnsi="Arial" w:hint="cs"/>
        </w:rPr>
        <w:t>C</w:t>
      </w:r>
      <w:r>
        <w:rPr>
          <w:rFonts w:ascii="Arial" w:hAnsi="Arial" w:hint="cs"/>
          <w:rtl/>
        </w:rPr>
        <w:t xml:space="preserve"> נתונה לאחריות וסמכות מדינת ישראל, בין אם מדובר בתחומי אחריות שנותרו בידה ובין אם מדובר בתחומי אחריות שהועברו לידי הרשות הפלסטינית.</w:t>
      </w:r>
    </w:p>
    <w:p w:rsidR="00AA0441" w:rsidRPr="007D1770" w:rsidRDefault="00AA0441" w:rsidP="00AA0441">
      <w:pPr>
        <w:pStyle w:val="a7"/>
        <w:rPr>
          <w:rFonts w:ascii="Arial" w:hAnsi="Arial"/>
          <w:rtl/>
        </w:rPr>
      </w:pPr>
    </w:p>
    <w:p w:rsidR="00AA0441" w:rsidRDefault="00AA0441" w:rsidP="00AA0441">
      <w:pPr>
        <w:pStyle w:val="a7"/>
        <w:numPr>
          <w:ilvl w:val="0"/>
          <w:numId w:val="3"/>
        </w:numPr>
        <w:jc w:val="both"/>
        <w:rPr>
          <w:rFonts w:ascii="Arial" w:hAnsi="Arial"/>
        </w:rPr>
      </w:pPr>
      <w:r>
        <w:rPr>
          <w:rFonts w:ascii="Arial" w:hAnsi="Arial" w:hint="cs"/>
          <w:rtl/>
        </w:rPr>
        <w:t>כמתואר לעיל, הפעלת בתי העסק בצמוד לכביש הגישה לישוב גבעון החדשה גורמת לסיכון חיי אדם, הן של הנוסעים בכבש והן של לקוחות בתי העסק.</w:t>
      </w:r>
    </w:p>
    <w:p w:rsidR="00AA0441" w:rsidRPr="00BE3DD6" w:rsidRDefault="00AA0441" w:rsidP="00AA0441">
      <w:pPr>
        <w:spacing w:line="280" w:lineRule="atLeast"/>
        <w:jc w:val="both"/>
        <w:rPr>
          <w:rFonts w:ascii="Arial" w:hAnsi="Arial"/>
        </w:rPr>
      </w:pPr>
    </w:p>
    <w:p w:rsidR="00AA0441" w:rsidRDefault="00AA0441" w:rsidP="00AA0441">
      <w:pPr>
        <w:pStyle w:val="a7"/>
        <w:numPr>
          <w:ilvl w:val="0"/>
          <w:numId w:val="3"/>
        </w:numPr>
        <w:jc w:val="both"/>
        <w:rPr>
          <w:rFonts w:ascii="Arial" w:hAnsi="Arial"/>
        </w:rPr>
      </w:pPr>
      <w:r>
        <w:rPr>
          <w:rFonts w:ascii="Arial" w:hAnsi="Arial" w:hint="cs"/>
          <w:rtl/>
        </w:rPr>
        <w:t>אין ולא יכול להיות חולק כי כתוצאה מהפעלת בתי העסק הבלתי חוקיים על כביש הגישה לישוב גבעון החדשה והסיכון הבטיחותי העצום הכרוך בהפעלת בתי עסק אלו במיקום זה, נפגע בטחון הפנים והסדר הציבורי במקום.</w:t>
      </w:r>
    </w:p>
    <w:p w:rsidR="00AA0441" w:rsidRDefault="00AA0441" w:rsidP="00AA0441">
      <w:pPr>
        <w:pStyle w:val="a7"/>
        <w:ind w:left="716"/>
        <w:jc w:val="both"/>
        <w:rPr>
          <w:rFonts w:ascii="Arial" w:hAnsi="Arial"/>
        </w:rPr>
      </w:pPr>
    </w:p>
    <w:p w:rsidR="00AA0441" w:rsidRPr="002111CA" w:rsidRDefault="00AA0441" w:rsidP="002111CA">
      <w:pPr>
        <w:pStyle w:val="a7"/>
        <w:numPr>
          <w:ilvl w:val="0"/>
          <w:numId w:val="3"/>
        </w:numPr>
        <w:jc w:val="both"/>
        <w:rPr>
          <w:rFonts w:ascii="Arial" w:hAnsi="Arial"/>
          <w:rtl/>
        </w:rPr>
      </w:pPr>
      <w:r w:rsidRPr="00AA0441">
        <w:rPr>
          <w:rFonts w:ascii="Arial" w:hAnsi="Arial" w:hint="cs"/>
          <w:rtl/>
        </w:rPr>
        <w:t>העותרת תטען, כי המשיבים אשר מאפשרים את המשך בניית והפעלת בתי העסק הבלתי חוקיים במקום, מתנערים הלכה למעשה מחובתם וסמכותם לשמור על ביטחון הפנים והסדר הציבורי במקום, וכי בהתפרקותם מחובתם זו מאפשרים הם את המשך "הכאוס וההפקרות" השוררים באזור זה, את הפגיעה בחיי אדם ואת הפגיעה בסדר הציבורי ובביטחון הפנים של התושבים החיים באזור.</w:t>
      </w:r>
    </w:p>
    <w:p w:rsidR="008017A5" w:rsidRDefault="008017A5" w:rsidP="00AA0441">
      <w:pPr>
        <w:rPr>
          <w:rFonts w:ascii="Arial" w:hAnsi="Arial"/>
          <w:b/>
          <w:bCs/>
          <w:rtl/>
        </w:rPr>
      </w:pPr>
    </w:p>
    <w:p w:rsidR="00AA0441" w:rsidRPr="00AA0441" w:rsidRDefault="00AA0441" w:rsidP="00AA0441">
      <w:pPr>
        <w:rPr>
          <w:rFonts w:ascii="Arial" w:hAnsi="Arial"/>
          <w:b/>
          <w:bCs/>
          <w:rtl/>
        </w:rPr>
      </w:pPr>
      <w:r w:rsidRPr="00AA0441">
        <w:rPr>
          <w:rFonts w:ascii="Arial" w:hAnsi="Arial" w:hint="cs"/>
          <w:b/>
          <w:bCs/>
          <w:rtl/>
        </w:rPr>
        <w:t xml:space="preserve">הפרת חוקי התכנון והבניה </w:t>
      </w:r>
      <w:r w:rsidRPr="00AA0441">
        <w:rPr>
          <w:rFonts w:ascii="Arial" w:hAnsi="Arial"/>
          <w:b/>
          <w:bCs/>
          <w:rtl/>
        </w:rPr>
        <w:t>–</w:t>
      </w:r>
    </w:p>
    <w:p w:rsidR="00AA0441" w:rsidRPr="00AA0441" w:rsidRDefault="00AA0441" w:rsidP="00AA0441">
      <w:pPr>
        <w:rPr>
          <w:rFonts w:ascii="Arial" w:hAnsi="Arial"/>
          <w:rtl/>
        </w:rPr>
      </w:pPr>
    </w:p>
    <w:p w:rsidR="00AA0441" w:rsidRDefault="00AA0441" w:rsidP="00AA0441">
      <w:pPr>
        <w:pStyle w:val="a7"/>
        <w:numPr>
          <w:ilvl w:val="0"/>
          <w:numId w:val="3"/>
        </w:numPr>
        <w:jc w:val="both"/>
        <w:rPr>
          <w:rFonts w:ascii="Arial" w:hAnsi="Arial"/>
        </w:rPr>
      </w:pPr>
      <w:r>
        <w:rPr>
          <w:rFonts w:ascii="Arial" w:hAnsi="Arial" w:hint="cs"/>
          <w:rtl/>
        </w:rPr>
        <w:t xml:space="preserve">העותרת תוסיף ותטען כי העובדות המפורטות בעתירה זו מצביעות על מחדלים בלתי סבירים מצד המשיבים, האמונים על אכיפת החוק באזור. </w:t>
      </w:r>
    </w:p>
    <w:p w:rsidR="00AA0441" w:rsidRDefault="00AA0441" w:rsidP="00AA0441">
      <w:pPr>
        <w:spacing w:line="280" w:lineRule="atLeast"/>
        <w:ind w:left="716"/>
        <w:jc w:val="both"/>
        <w:rPr>
          <w:rFonts w:ascii="Arial" w:hAnsi="Arial"/>
          <w:rtl/>
        </w:rPr>
      </w:pPr>
    </w:p>
    <w:p w:rsidR="00AA0441" w:rsidRDefault="00AA0441" w:rsidP="00440237">
      <w:pPr>
        <w:pStyle w:val="a7"/>
        <w:numPr>
          <w:ilvl w:val="0"/>
          <w:numId w:val="3"/>
        </w:numPr>
        <w:jc w:val="both"/>
        <w:rPr>
          <w:rFonts w:ascii="Arial" w:hAnsi="Arial"/>
          <w:b/>
          <w:bCs/>
        </w:rPr>
      </w:pPr>
      <w:r>
        <w:rPr>
          <w:rFonts w:ascii="Arial" w:hAnsi="Arial" w:hint="cs"/>
          <w:b/>
          <w:bCs/>
          <w:rtl/>
        </w:rPr>
        <w:t xml:space="preserve">כפי שפורט לעיל, חומרת בניית בתי העסק הבלתי חוקיים מתעצמת לנוכח העובדה כי </w:t>
      </w:r>
      <w:r>
        <w:rPr>
          <w:rFonts w:ascii="Arial" w:hAnsi="Arial" w:hint="cs"/>
          <w:b/>
          <w:bCs/>
          <w:u w:val="single"/>
          <w:rtl/>
        </w:rPr>
        <w:t xml:space="preserve">לא רק שהעבריינים ניצלו את העובדה כי רשויות האכיפה נמנעו מלאכוף את החוק מולם על מנת </w:t>
      </w:r>
      <w:r w:rsidRPr="00AA0441">
        <w:rPr>
          <w:rFonts w:ascii="Arial" w:hAnsi="Arial" w:hint="cs"/>
          <w:b/>
          <w:bCs/>
          <w:u w:val="single"/>
          <w:rtl/>
        </w:rPr>
        <w:t>להמשיך לבנות את</w:t>
      </w:r>
      <w:r>
        <w:rPr>
          <w:rFonts w:ascii="Arial" w:hAnsi="Arial" w:hint="cs"/>
          <w:b/>
          <w:bCs/>
          <w:u w:val="single"/>
          <w:rtl/>
        </w:rPr>
        <w:t xml:space="preserve"> בתי העסק הבלתי חוקיים</w:t>
      </w:r>
      <w:r>
        <w:rPr>
          <w:rFonts w:ascii="Arial" w:hAnsi="Arial" w:hint="cs"/>
          <w:b/>
          <w:bCs/>
          <w:rtl/>
        </w:rPr>
        <w:t>, ולא רק שמפעילים הם את בתי העסק ללא כל רישיון לכך, אלא שעושים זאת תוך פגיעה קשה בביטחון ובבטיחות חיי הנוסעים בכביש הסמוך. פעילות עבריינית זו מבוצעת כדבר שבשגרה לאורך תקופה ארוכה וללא שהמשיבים האמונים על שלטון החוק באזור עשו די כדי למנוע את הדבר.</w:t>
      </w:r>
    </w:p>
    <w:p w:rsidR="00AA0441" w:rsidRDefault="00AA0441" w:rsidP="00AA0441">
      <w:pPr>
        <w:pStyle w:val="a7"/>
        <w:spacing w:line="280" w:lineRule="atLeast"/>
        <w:rPr>
          <w:rFonts w:ascii="Arial" w:hAnsi="Arial"/>
        </w:rPr>
      </w:pPr>
    </w:p>
    <w:p w:rsidR="00AA0441" w:rsidRDefault="00AA0441" w:rsidP="00440237">
      <w:pPr>
        <w:pStyle w:val="a7"/>
        <w:numPr>
          <w:ilvl w:val="0"/>
          <w:numId w:val="3"/>
        </w:numPr>
        <w:jc w:val="both"/>
        <w:rPr>
          <w:rFonts w:ascii="Arial" w:hAnsi="Arial"/>
          <w:rtl/>
        </w:rPr>
      </w:pPr>
      <w:r>
        <w:rPr>
          <w:rFonts w:hint="cs"/>
          <w:rtl/>
        </w:rPr>
        <w:t xml:space="preserve">חומרתן </w:t>
      </w:r>
      <w:r w:rsidRPr="00440237">
        <w:rPr>
          <w:rFonts w:ascii="Arial" w:hAnsi="Arial" w:hint="cs"/>
          <w:rtl/>
        </w:rPr>
        <w:t>היתרה</w:t>
      </w:r>
      <w:r w:rsidRPr="00440237">
        <w:rPr>
          <w:rFonts w:hint="cs"/>
          <w:rtl/>
        </w:rPr>
        <w:t xml:space="preserve"> של</w:t>
      </w:r>
      <w:r>
        <w:rPr>
          <w:rFonts w:hint="cs"/>
          <w:rtl/>
        </w:rPr>
        <w:t xml:space="preserve"> עבירות הבניה מתבטאת בכך שהן מופנות ומתריסות בשלטון החוק. עמד על כך כב' השופט חשין ב</w:t>
      </w:r>
      <w:hyperlink r:id="rId10" w:history="1">
        <w:r w:rsidRPr="005745A7">
          <w:rPr>
            <w:rStyle w:val="Hyperlink"/>
            <w:rFonts w:hint="cs"/>
            <w:color w:val="auto"/>
            <w:u w:val="none"/>
            <w:rtl/>
          </w:rPr>
          <w:t xml:space="preserve">רע"פ 5584/03 </w:t>
        </w:r>
        <w:r w:rsidRPr="005745A7">
          <w:rPr>
            <w:rStyle w:val="Hyperlink"/>
            <w:rFonts w:hint="cs"/>
            <w:b/>
            <w:bCs/>
            <w:color w:val="auto"/>
            <w:u w:val="none"/>
            <w:rtl/>
          </w:rPr>
          <w:t>פינטו נ' עיריית חיפה</w:t>
        </w:r>
        <w:r w:rsidRPr="005745A7">
          <w:rPr>
            <w:rStyle w:val="Hyperlink"/>
            <w:rFonts w:hint="cs"/>
            <w:color w:val="auto"/>
            <w:u w:val="none"/>
            <w:rtl/>
          </w:rPr>
          <w:t>, פ"ד נט</w:t>
        </w:r>
      </w:hyperlink>
      <w:r w:rsidRPr="005745A7">
        <w:rPr>
          <w:rFonts w:hint="cs"/>
          <w:rtl/>
        </w:rPr>
        <w:t>(</w:t>
      </w:r>
      <w:r>
        <w:rPr>
          <w:rFonts w:hint="cs"/>
          <w:rtl/>
        </w:rPr>
        <w:t>3), 577, בעמ' 587, בצטטו את דברי כב' השופט שמגר שנאמרו בעניין דומה:</w:t>
      </w:r>
    </w:p>
    <w:p w:rsidR="00AA0441" w:rsidRDefault="00AA0441" w:rsidP="00AA0441">
      <w:pPr>
        <w:pStyle w:val="a8"/>
        <w:spacing w:after="120" w:line="280" w:lineRule="atLeast"/>
        <w:rPr>
          <w:b/>
          <w:bCs/>
          <w:rtl/>
        </w:rPr>
      </w:pPr>
    </w:p>
    <w:p w:rsidR="00AA0441" w:rsidRDefault="00AA0441" w:rsidP="00AA0441">
      <w:pPr>
        <w:pStyle w:val="a8"/>
        <w:spacing w:after="120" w:line="280" w:lineRule="atLeast"/>
        <w:ind w:left="935" w:right="426"/>
        <w:rPr>
          <w:rtl/>
        </w:rPr>
      </w:pPr>
      <w:r>
        <w:rPr>
          <w:rFonts w:hint="cs"/>
          <w:b/>
          <w:bCs/>
          <w:rtl/>
        </w:rPr>
        <w:t>"בנייה שלא כדין היא לא רק תופעה, החותרת תחת התכנון הנאות של הבנייה, אלא השלכותיה מרחיקות לכת יותר: היא בין התופעות הבולטות, הפוגעות בהשלטת החוק. מי שעושה דין לעצמו פוגע באופן הגלוי והברור בהשלטת החוק</w:t>
      </w:r>
      <w:r>
        <w:rPr>
          <w:rFonts w:hint="cs"/>
          <w:rtl/>
        </w:rPr>
        <w:t>".</w:t>
      </w:r>
    </w:p>
    <w:p w:rsidR="00AA0441" w:rsidRDefault="00AA0441" w:rsidP="00AA0441">
      <w:pPr>
        <w:spacing w:line="280" w:lineRule="atLeast"/>
        <w:ind w:left="716" w:right="716"/>
        <w:jc w:val="both"/>
        <w:rPr>
          <w:rFonts w:ascii="Arial" w:hAnsi="Arial"/>
          <w:rtl/>
        </w:rPr>
      </w:pPr>
    </w:p>
    <w:p w:rsidR="00AA0441" w:rsidRDefault="00AA0441" w:rsidP="00440237">
      <w:pPr>
        <w:pStyle w:val="a7"/>
        <w:numPr>
          <w:ilvl w:val="0"/>
          <w:numId w:val="3"/>
        </w:numPr>
        <w:jc w:val="both"/>
        <w:rPr>
          <w:rFonts w:ascii="Arial" w:hAnsi="Arial"/>
        </w:rPr>
      </w:pPr>
      <w:r>
        <w:rPr>
          <w:rFonts w:ascii="Arial" w:hAnsi="Arial" w:hint="cs"/>
          <w:rtl/>
        </w:rPr>
        <w:t xml:space="preserve">עוד נאמר </w:t>
      </w:r>
      <w:r w:rsidRPr="00440237">
        <w:rPr>
          <w:rFonts w:hint="cs"/>
          <w:rtl/>
        </w:rPr>
        <w:t>לעניין</w:t>
      </w:r>
      <w:r>
        <w:rPr>
          <w:rFonts w:ascii="Arial" w:hAnsi="Arial" w:hint="cs"/>
          <w:rtl/>
        </w:rPr>
        <w:t xml:space="preserve"> זה:</w:t>
      </w:r>
    </w:p>
    <w:p w:rsidR="00AA0441" w:rsidRDefault="00AA0441" w:rsidP="00AA0441">
      <w:pPr>
        <w:pStyle w:val="ruller5"/>
        <w:shd w:val="clear" w:color="auto" w:fill="FFFFFF"/>
        <w:bidi/>
        <w:spacing w:before="0" w:beforeAutospacing="0" w:after="0" w:afterAutospacing="0"/>
        <w:ind w:left="716" w:right="1282"/>
        <w:jc w:val="both"/>
        <w:rPr>
          <w:rFonts w:ascii="Arial TUR" w:hAnsi="Arial TUR" w:cs="David"/>
          <w:spacing w:val="10"/>
        </w:rPr>
      </w:pPr>
    </w:p>
    <w:p w:rsidR="00AA0441" w:rsidRPr="00F11BF0" w:rsidRDefault="00AA0441" w:rsidP="00AA0441">
      <w:pPr>
        <w:pStyle w:val="ruller5"/>
        <w:shd w:val="clear" w:color="auto" w:fill="FFFFFF"/>
        <w:bidi/>
        <w:spacing w:before="0" w:beforeAutospacing="0" w:after="0" w:afterAutospacing="0"/>
        <w:ind w:left="1076" w:right="426"/>
        <w:jc w:val="both"/>
        <w:rPr>
          <w:rFonts w:ascii="Arial TUR" w:hAnsi="Arial TUR" w:cs="David"/>
          <w:spacing w:val="10"/>
          <w:rtl/>
        </w:rPr>
      </w:pPr>
      <w:r w:rsidRPr="00F11BF0">
        <w:rPr>
          <w:rFonts w:ascii="Arial TUR" w:hAnsi="Arial TUR" w:cs="David" w:hint="cs"/>
          <w:b/>
          <w:bCs/>
          <w:spacing w:val="10"/>
          <w:rtl/>
        </w:rPr>
        <w:t>"לצערנו, הפכו עבירות נגד חוקי התכנון והבניה לחזון נפרץ, ורבים גם טובים איש הישר בעיניו יבנה. זוהי פגיעה חמורה וקשה בשלטון החוק, המזולזל לעין השמש, ואין איש שם אל לב לאזהרות הגורמים המוסמכים ולפסקי הדין של בתי המשפט"</w:t>
      </w:r>
      <w:r w:rsidRPr="00F11BF0">
        <w:rPr>
          <w:rStyle w:val="apple-converted-space"/>
          <w:rFonts w:ascii="Arial TUR" w:hAnsi="Arial TUR" w:cs="David" w:hint="cs"/>
          <w:spacing w:val="10"/>
          <w:rtl/>
        </w:rPr>
        <w:t> </w:t>
      </w:r>
      <w:r w:rsidRPr="00F11BF0">
        <w:rPr>
          <w:rFonts w:ascii="Arial TUR" w:hAnsi="Arial TUR" w:cs="David" w:hint="cs"/>
          <w:spacing w:val="10"/>
          <w:rtl/>
        </w:rPr>
        <w:t>(</w:t>
      </w:r>
      <w:hyperlink r:id="rId11" w:tgtFrame="blank" w:history="1">
        <w:r w:rsidRPr="005745A7">
          <w:rPr>
            <w:rStyle w:val="Hyperlink"/>
            <w:rFonts w:ascii="Arial TUR" w:hAnsi="Arial TUR" w:cs="David" w:hint="cs"/>
            <w:color w:val="auto"/>
            <w:spacing w:val="10"/>
            <w:u w:val="none"/>
            <w:rtl/>
          </w:rPr>
          <w:t xml:space="preserve">ע"פ 9178/85 </w:t>
        </w:r>
        <w:r w:rsidRPr="005745A7">
          <w:rPr>
            <w:rStyle w:val="Hyperlink"/>
            <w:rFonts w:ascii="Arial TUR" w:hAnsi="Arial TUR" w:cs="David" w:hint="cs"/>
            <w:b/>
            <w:bCs/>
            <w:color w:val="auto"/>
            <w:spacing w:val="10"/>
            <w:u w:val="none"/>
            <w:rtl/>
          </w:rPr>
          <w:t>הועדה המקומית לתכנון ולבניה גליל מזרחי נ' אבו נימר</w:t>
        </w:r>
        <w:r w:rsidRPr="005745A7">
          <w:rPr>
            <w:rStyle w:val="Hyperlink"/>
            <w:rFonts w:ascii="Arial TUR" w:hAnsi="Arial TUR" w:cs="David" w:hint="cs"/>
            <w:color w:val="auto"/>
            <w:spacing w:val="10"/>
            <w:u w:val="none"/>
            <w:rtl/>
          </w:rPr>
          <w:t>, פ"ד מא</w:t>
        </w:r>
      </w:hyperlink>
      <w:r w:rsidRPr="005745A7">
        <w:rPr>
          <w:rFonts w:ascii="Arial TUR" w:hAnsi="Arial TUR" w:cs="David" w:hint="cs"/>
          <w:spacing w:val="10"/>
          <w:rtl/>
        </w:rPr>
        <w:t>(4) 29, 31 - המשנה לנשיא אלון; וראו גם</w:t>
      </w:r>
      <w:r w:rsidRPr="005745A7">
        <w:rPr>
          <w:rStyle w:val="apple-converted-space"/>
          <w:rFonts w:ascii="Arial TUR" w:hAnsi="Arial TUR" w:cs="David" w:hint="cs"/>
          <w:spacing w:val="10"/>
          <w:rtl/>
        </w:rPr>
        <w:t> </w:t>
      </w:r>
      <w:hyperlink r:id="rId12" w:tgtFrame="blank" w:history="1">
        <w:r w:rsidRPr="005745A7">
          <w:rPr>
            <w:rStyle w:val="Hyperlink"/>
            <w:rFonts w:ascii="Arial TUR" w:hAnsi="Arial TUR" w:cs="David" w:hint="cs"/>
            <w:b/>
            <w:bCs/>
            <w:color w:val="auto"/>
            <w:spacing w:val="10"/>
            <w:u w:val="none"/>
            <w:rtl/>
          </w:rPr>
          <w:t>רע"פ 4357/01 סבן נ' הוועדה המקומית לתכנון ובניה "אונו"</w:t>
        </w:r>
        <w:r w:rsidRPr="005745A7">
          <w:rPr>
            <w:rStyle w:val="Hyperlink"/>
            <w:rFonts w:ascii="Arial TUR" w:hAnsi="Arial TUR" w:cs="David" w:hint="cs"/>
            <w:color w:val="auto"/>
            <w:spacing w:val="10"/>
            <w:u w:val="none"/>
            <w:rtl/>
          </w:rPr>
          <w:t>, פ"ד נו</w:t>
        </w:r>
      </w:hyperlink>
      <w:r w:rsidRPr="005745A7">
        <w:rPr>
          <w:rFonts w:ascii="Arial TUR" w:hAnsi="Arial TUR" w:cs="David" w:hint="cs"/>
          <w:spacing w:val="10"/>
          <w:rtl/>
        </w:rPr>
        <w:t>(3) 49, 59;</w:t>
      </w:r>
      <w:r w:rsidRPr="005745A7">
        <w:rPr>
          <w:rStyle w:val="apple-converted-space"/>
          <w:rFonts w:ascii="Arial TUR" w:hAnsi="Arial TUR" w:cs="David" w:hint="cs"/>
          <w:spacing w:val="10"/>
          <w:rtl/>
        </w:rPr>
        <w:t> </w:t>
      </w:r>
      <w:hyperlink r:id="rId13" w:tgtFrame="blank" w:history="1">
        <w:r w:rsidRPr="005745A7">
          <w:rPr>
            <w:rStyle w:val="Hyperlink"/>
            <w:rFonts w:ascii="Arial TUR" w:hAnsi="Arial TUR" w:cs="David" w:hint="cs"/>
            <w:color w:val="auto"/>
            <w:spacing w:val="10"/>
            <w:u w:val="none"/>
            <w:rtl/>
          </w:rPr>
          <w:t>רע"פ 11920/04</w:t>
        </w:r>
      </w:hyperlink>
      <w:r w:rsidRPr="005745A7">
        <w:rPr>
          <w:rStyle w:val="apple-converted-space"/>
          <w:rFonts w:ascii="Arial TUR" w:hAnsi="Arial TUR" w:cs="David" w:hint="cs"/>
          <w:spacing w:val="10"/>
          <w:rtl/>
        </w:rPr>
        <w:t> </w:t>
      </w:r>
      <w:r w:rsidRPr="005745A7">
        <w:rPr>
          <w:rFonts w:ascii="Arial TUR" w:hAnsi="Arial TUR" w:cs="David" w:hint="cs"/>
          <w:b/>
          <w:bCs/>
          <w:rtl/>
        </w:rPr>
        <w:t>נאיף נ' מדינת ישראל</w:t>
      </w:r>
      <w:r w:rsidRPr="005745A7">
        <w:rPr>
          <w:rStyle w:val="apple-converted-space"/>
          <w:rFonts w:ascii="Arial TUR" w:hAnsi="Arial TUR" w:cs="David" w:hint="cs"/>
          <w:spacing w:val="10"/>
          <w:rtl/>
        </w:rPr>
        <w:t> </w:t>
      </w:r>
      <w:r w:rsidRPr="005745A7">
        <w:rPr>
          <w:rFonts w:ascii="Arial TUR" w:hAnsi="Arial TUR" w:cs="David" w:hint="cs"/>
          <w:rtl/>
        </w:rPr>
        <w:t>[פורסם בנבו]</w:t>
      </w:r>
      <w:r w:rsidRPr="005745A7">
        <w:rPr>
          <w:rFonts w:ascii="Arial TUR" w:hAnsi="Arial TUR" w:cs="David" w:hint="cs"/>
          <w:spacing w:val="10"/>
          <w:rtl/>
        </w:rPr>
        <w:t>;</w:t>
      </w:r>
      <w:r w:rsidRPr="005745A7">
        <w:rPr>
          <w:rStyle w:val="apple-converted-space"/>
          <w:rFonts w:ascii="Arial TUR" w:hAnsi="Arial TUR" w:cs="David" w:hint="cs"/>
          <w:spacing w:val="10"/>
          <w:rtl/>
        </w:rPr>
        <w:t> </w:t>
      </w:r>
      <w:hyperlink r:id="rId14" w:tgtFrame="blank" w:history="1">
        <w:r w:rsidRPr="005745A7">
          <w:rPr>
            <w:rStyle w:val="Hyperlink"/>
            <w:rFonts w:ascii="Arial TUR" w:hAnsi="Arial TUR" w:cs="David" w:hint="cs"/>
            <w:color w:val="auto"/>
            <w:spacing w:val="10"/>
            <w:u w:val="none"/>
            <w:rtl/>
          </w:rPr>
          <w:t>בג"צ 5493/08</w:t>
        </w:r>
      </w:hyperlink>
      <w:r w:rsidRPr="005745A7">
        <w:rPr>
          <w:rFonts w:ascii="Arial TUR" w:hAnsi="Arial TUR" w:cs="David" w:hint="cs"/>
          <w:rtl/>
        </w:rPr>
        <w:t xml:space="preserve"> </w:t>
      </w:r>
      <w:r w:rsidRPr="005745A7">
        <w:rPr>
          <w:rFonts w:ascii="Arial TUR" w:hAnsi="Arial TUR" w:cs="David" w:hint="cs"/>
          <w:b/>
          <w:bCs/>
          <w:rtl/>
        </w:rPr>
        <w:t>חטיב נ' ועדת המשנה לפיקוח על הבניה</w:t>
      </w:r>
      <w:r w:rsidRPr="005745A7">
        <w:rPr>
          <w:rStyle w:val="apple-converted-space"/>
          <w:rFonts w:ascii="Arial TUR" w:hAnsi="Arial TUR" w:cs="David" w:hint="cs"/>
          <w:rtl/>
        </w:rPr>
        <w:t> </w:t>
      </w:r>
      <w:r w:rsidRPr="005745A7">
        <w:rPr>
          <w:rFonts w:ascii="Arial TUR" w:hAnsi="Arial TUR" w:cs="David" w:hint="cs"/>
          <w:rtl/>
        </w:rPr>
        <w:t>[פורסם בנבו]</w:t>
      </w:r>
      <w:r w:rsidRPr="005745A7">
        <w:rPr>
          <w:rFonts w:ascii="Arial TUR" w:hAnsi="Arial TUR" w:cs="David" w:hint="cs"/>
          <w:spacing w:val="10"/>
          <w:rtl/>
        </w:rPr>
        <w:t>, פסקה ו').</w:t>
      </w:r>
    </w:p>
    <w:p w:rsidR="00AA0441" w:rsidRDefault="00AA0441" w:rsidP="00AA0441">
      <w:pPr>
        <w:spacing w:line="280" w:lineRule="atLeast"/>
        <w:ind w:left="716"/>
        <w:jc w:val="both"/>
        <w:rPr>
          <w:rFonts w:ascii="Arial" w:hAnsi="Arial"/>
        </w:rPr>
      </w:pPr>
    </w:p>
    <w:p w:rsidR="00AA0441" w:rsidRDefault="00AA0441" w:rsidP="002111CA">
      <w:pPr>
        <w:pStyle w:val="a7"/>
        <w:numPr>
          <w:ilvl w:val="0"/>
          <w:numId w:val="3"/>
        </w:numPr>
        <w:jc w:val="both"/>
        <w:rPr>
          <w:rFonts w:ascii="Arial" w:hAnsi="Arial"/>
        </w:rPr>
      </w:pPr>
      <w:r>
        <w:rPr>
          <w:rFonts w:ascii="Arial" w:hAnsi="Arial" w:hint="cs"/>
          <w:rtl/>
        </w:rPr>
        <w:t xml:space="preserve">דברים אלו יפים שבעתיים בענייננו עת העבריינים </w:t>
      </w:r>
      <w:r w:rsidR="00440237">
        <w:rPr>
          <w:rFonts w:ascii="Arial" w:hAnsi="Arial" w:hint="cs"/>
          <w:rtl/>
        </w:rPr>
        <w:t>לא רק שהקימו את המבנים</w:t>
      </w:r>
      <w:r>
        <w:rPr>
          <w:rFonts w:ascii="Arial" w:hAnsi="Arial" w:hint="cs"/>
          <w:rtl/>
        </w:rPr>
        <w:t xml:space="preserve"> באופן בלתי חוקי</w:t>
      </w:r>
      <w:r w:rsidR="00440237">
        <w:rPr>
          <w:rFonts w:ascii="Arial" w:hAnsi="Arial" w:hint="cs"/>
          <w:rtl/>
        </w:rPr>
        <w:t xml:space="preserve"> וללא היתרי בניה</w:t>
      </w:r>
      <w:r>
        <w:rPr>
          <w:rFonts w:ascii="Arial" w:hAnsi="Arial" w:hint="cs"/>
          <w:rtl/>
        </w:rPr>
        <w:t xml:space="preserve">, אלא </w:t>
      </w:r>
      <w:r w:rsidR="00440237">
        <w:rPr>
          <w:rFonts w:ascii="Arial" w:hAnsi="Arial" w:hint="cs"/>
          <w:rtl/>
        </w:rPr>
        <w:t xml:space="preserve">שעשו זאת </w:t>
      </w:r>
      <w:r w:rsidRPr="00440237">
        <w:rPr>
          <w:rFonts w:hint="cs"/>
          <w:rtl/>
        </w:rPr>
        <w:t>בסמוך</w:t>
      </w:r>
      <w:r>
        <w:rPr>
          <w:rFonts w:ascii="Arial" w:hAnsi="Arial" w:hint="cs"/>
          <w:rtl/>
        </w:rPr>
        <w:t xml:space="preserve"> ממש לכביש ה</w:t>
      </w:r>
      <w:r w:rsidR="00440237">
        <w:rPr>
          <w:rFonts w:ascii="Arial" w:hAnsi="Arial" w:hint="cs"/>
          <w:rtl/>
        </w:rPr>
        <w:t>גישה לישוב גבעון החדשה</w:t>
      </w:r>
      <w:r>
        <w:rPr>
          <w:rFonts w:ascii="Arial" w:hAnsi="Arial" w:hint="cs"/>
          <w:rtl/>
        </w:rPr>
        <w:t>,</w:t>
      </w:r>
      <w:r w:rsidR="002111CA">
        <w:rPr>
          <w:rFonts w:ascii="Arial" w:hAnsi="Arial" w:hint="cs"/>
          <w:rtl/>
        </w:rPr>
        <w:t xml:space="preserve"> בניגוד לצו איסור בניה החל במקום, </w:t>
      </w:r>
      <w:r>
        <w:rPr>
          <w:rFonts w:ascii="Arial" w:hAnsi="Arial" w:hint="cs"/>
          <w:rtl/>
        </w:rPr>
        <w:t xml:space="preserve">תוך יצירת סיכון בטיחותי וביטחוני גבוה ביותר. </w:t>
      </w:r>
    </w:p>
    <w:p w:rsidR="00824837" w:rsidRDefault="00824837" w:rsidP="00824837">
      <w:pPr>
        <w:pStyle w:val="a7"/>
        <w:ind w:left="716"/>
        <w:jc w:val="both"/>
        <w:rPr>
          <w:rFonts w:ascii="Arial" w:hAnsi="Arial"/>
        </w:rPr>
      </w:pPr>
    </w:p>
    <w:p w:rsidR="00AA0441" w:rsidRPr="00824837" w:rsidRDefault="00AA0441" w:rsidP="00824837">
      <w:pPr>
        <w:pStyle w:val="a7"/>
        <w:numPr>
          <w:ilvl w:val="0"/>
          <w:numId w:val="3"/>
        </w:numPr>
        <w:jc w:val="both"/>
        <w:rPr>
          <w:rFonts w:ascii="Arial" w:hAnsi="Arial"/>
          <w:rtl/>
        </w:rPr>
      </w:pPr>
      <w:r w:rsidRPr="00824837">
        <w:rPr>
          <w:rFonts w:ascii="Arial" w:hAnsi="Arial" w:hint="cs"/>
          <w:rtl/>
        </w:rPr>
        <w:t>נראה כי די בדברים אלו כדי להצביע על חומרת מחדלם של רשויות האכיפה מלאכוף את החוק ביחס למבנים בלתי חוקיים אלו וביחס לפעילותם המנוגדת לחוק של העבריינים, כמתואר לעיל.</w:t>
      </w:r>
    </w:p>
    <w:p w:rsidR="00AA0441" w:rsidRDefault="00AA0441" w:rsidP="00AA0441">
      <w:pPr>
        <w:pStyle w:val="a7"/>
        <w:spacing w:line="280" w:lineRule="atLeast"/>
        <w:rPr>
          <w:rFonts w:ascii="Arial" w:hAnsi="Arial"/>
        </w:rPr>
      </w:pPr>
    </w:p>
    <w:p w:rsidR="00AA0441" w:rsidRDefault="00AA0441" w:rsidP="00824837">
      <w:pPr>
        <w:pStyle w:val="a7"/>
        <w:numPr>
          <w:ilvl w:val="0"/>
          <w:numId w:val="3"/>
        </w:numPr>
        <w:jc w:val="both"/>
        <w:rPr>
          <w:rFonts w:ascii="Arial" w:hAnsi="Arial"/>
          <w:rtl/>
        </w:rPr>
      </w:pPr>
      <w:r>
        <w:rPr>
          <w:rFonts w:ascii="Arial" w:hAnsi="Arial" w:hint="cs"/>
          <w:rtl/>
        </w:rPr>
        <w:t xml:space="preserve">מן הנתונים מצטיירת תמונה עגומה על מצב שלטון החוק באזור, תמונה חמורה שבשום אופן אין להשלים עמה. רשויות האכיפה, הלכה למעשה, נוקטות במדיניות ברורה של אי אכיפת שמירת הסדר הציבורי וחוקי התכנון והבניה גם כאשר מדובר במחיר כה כבד ובפגיעה כה קשה בכל היבט שעשוי להיות רלוונטי - בטחוני, בטיחותי, חוקתי, תודעתי וכיו"ב. </w:t>
      </w:r>
    </w:p>
    <w:p w:rsidR="00AA0441" w:rsidRDefault="00AA0441" w:rsidP="00824837">
      <w:pPr>
        <w:pStyle w:val="a7"/>
        <w:ind w:left="716"/>
        <w:jc w:val="both"/>
        <w:rPr>
          <w:rFonts w:ascii="Arial" w:hAnsi="Arial"/>
        </w:rPr>
      </w:pPr>
    </w:p>
    <w:p w:rsidR="00AA0441" w:rsidRDefault="00AA0441" w:rsidP="00824837">
      <w:pPr>
        <w:pStyle w:val="a7"/>
        <w:numPr>
          <w:ilvl w:val="0"/>
          <w:numId w:val="3"/>
        </w:numPr>
        <w:jc w:val="both"/>
        <w:rPr>
          <w:rFonts w:ascii="Arial" w:hAnsi="Arial"/>
          <w:rtl/>
        </w:rPr>
      </w:pPr>
      <w:r>
        <w:rPr>
          <w:rFonts w:hint="cs"/>
          <w:rtl/>
        </w:rPr>
        <w:t>בית משפט נכבד זה עמד לא אחת על חובתן של הרשויות למלא את חובתן החוקית:</w:t>
      </w:r>
    </w:p>
    <w:p w:rsidR="00AA0441" w:rsidRDefault="00AA0441" w:rsidP="00AA0441">
      <w:pPr>
        <w:spacing w:line="280" w:lineRule="atLeast"/>
        <w:jc w:val="both"/>
      </w:pPr>
    </w:p>
    <w:p w:rsidR="00AA0441" w:rsidRDefault="00AA0441" w:rsidP="00AA0441">
      <w:pPr>
        <w:snapToGrid w:val="0"/>
        <w:spacing w:line="280" w:lineRule="atLeast"/>
        <w:ind w:left="935" w:right="540"/>
        <w:jc w:val="both"/>
        <w:rPr>
          <w:b/>
          <w:bCs/>
          <w:color w:val="373737"/>
          <w:rtl/>
        </w:rPr>
      </w:pPr>
      <w:r>
        <w:rPr>
          <w:rFonts w:hint="cs"/>
          <w:b/>
          <w:bCs/>
          <w:color w:val="373737"/>
          <w:rtl/>
        </w:rPr>
        <w:t xml:space="preserve">"ועדיין לא דיברנו - ויכולנו להוסיף ולדבר ארוכות - על המכה האנושה שמחדלי-אכיפה עלולים להביא על עצם קיומו של שלטון החוק. חוק שהרשויות אינן עושות לאכיפתו כהלכתו, יפה היה לו שלא נחקק משנחקק. חוק שאינו נאכף מוטב לו שלא ייחקק, משיחקק ולא ייאכף. חוקים לא נועדו לצדיקים גמורים. ומי שאינו צדיק גמור, אל נביאנו לידי ניסיון שמא יחטא. חוק המבוזה בשער בת-רבים יביא לרפיון גם מעבר לתחומיו, ובית-המשפט לא ישלים עם תופעה זו" </w:t>
      </w:r>
    </w:p>
    <w:p w:rsidR="00AA0441" w:rsidRDefault="00AA0441" w:rsidP="00AA0441">
      <w:pPr>
        <w:spacing w:line="280" w:lineRule="atLeast"/>
        <w:jc w:val="both"/>
      </w:pPr>
    </w:p>
    <w:p w:rsidR="00AA0441" w:rsidRDefault="00AA0441" w:rsidP="00AA0441">
      <w:pPr>
        <w:spacing w:line="280" w:lineRule="atLeast"/>
        <w:ind w:left="793"/>
        <w:jc w:val="both"/>
        <w:rPr>
          <w:rtl/>
        </w:rPr>
      </w:pPr>
      <w:r>
        <w:rPr>
          <w:rFonts w:hint="cs"/>
          <w:rtl/>
        </w:rPr>
        <w:t xml:space="preserve">(ראה: בגצ 96 / 53 </w:t>
      </w:r>
      <w:r>
        <w:rPr>
          <w:rFonts w:hint="cs"/>
          <w:b/>
          <w:bCs/>
          <w:rtl/>
        </w:rPr>
        <w:t>תשלובת ח. אלוני בע"מ נ' שר התעשייה והמסחר</w:t>
      </w:r>
      <w:r>
        <w:rPr>
          <w:rFonts w:hint="cs"/>
          <w:rtl/>
        </w:rPr>
        <w:t xml:space="preserve"> נב (2) 1, עמוד 12-13).</w:t>
      </w:r>
    </w:p>
    <w:p w:rsidR="00AA0441" w:rsidRDefault="00AA0441" w:rsidP="00AA0441">
      <w:pPr>
        <w:spacing w:line="280" w:lineRule="atLeast"/>
        <w:ind w:left="793"/>
        <w:jc w:val="both"/>
        <w:rPr>
          <w:rtl/>
        </w:rPr>
      </w:pPr>
    </w:p>
    <w:p w:rsidR="00AA0441" w:rsidRDefault="00AA0441" w:rsidP="00824837">
      <w:pPr>
        <w:pStyle w:val="a7"/>
        <w:numPr>
          <w:ilvl w:val="0"/>
          <w:numId w:val="3"/>
        </w:numPr>
        <w:jc w:val="both"/>
        <w:rPr>
          <w:rFonts w:ascii="Arial" w:hAnsi="Arial"/>
        </w:rPr>
      </w:pPr>
      <w:r>
        <w:rPr>
          <w:rFonts w:ascii="Arial" w:hAnsi="Arial" w:hint="cs"/>
          <w:rtl/>
        </w:rPr>
        <w:t xml:space="preserve">בענייננו, אין מחלוקת באשר לצורך בקבלת היתר לבניית בתי העסק מושא העתירה </w:t>
      </w:r>
      <w:r>
        <w:rPr>
          <w:rFonts w:ascii="Arial" w:hAnsi="Arial" w:hint="cs"/>
          <w:u w:val="single"/>
          <w:rtl/>
        </w:rPr>
        <w:t>ועל כן סוגיית אי החוקיות של בניית מבנה בתי העסק איננה צריכה הרחבה</w:t>
      </w:r>
      <w:r>
        <w:rPr>
          <w:rFonts w:ascii="Arial" w:hAnsi="Arial" w:hint="cs"/>
          <w:rtl/>
        </w:rPr>
        <w:t>.</w:t>
      </w:r>
    </w:p>
    <w:p w:rsidR="00824837" w:rsidRDefault="00824837" w:rsidP="00824837">
      <w:pPr>
        <w:pStyle w:val="a7"/>
        <w:ind w:left="716"/>
        <w:jc w:val="both"/>
        <w:rPr>
          <w:rFonts w:ascii="Arial" w:hAnsi="Arial"/>
        </w:rPr>
      </w:pPr>
    </w:p>
    <w:p w:rsidR="00AA0441" w:rsidRPr="00824837" w:rsidRDefault="00AA0441" w:rsidP="00824837">
      <w:pPr>
        <w:pStyle w:val="a7"/>
        <w:numPr>
          <w:ilvl w:val="0"/>
          <w:numId w:val="3"/>
        </w:numPr>
        <w:jc w:val="both"/>
        <w:rPr>
          <w:rFonts w:ascii="Arial" w:hAnsi="Arial"/>
          <w:rtl/>
        </w:rPr>
      </w:pPr>
      <w:r w:rsidRPr="00824837">
        <w:rPr>
          <w:rFonts w:ascii="Arial" w:hAnsi="Arial" w:hint="cs"/>
          <w:rtl/>
        </w:rPr>
        <w:t>גם חובת המשיבים לאכוף את דיני התכנון והבניה באזור יו"ש ו/או כל דין אחר איננה שנויה במחלוקת, שכן המשיבים הם הריבון בשטח ובאחריותם המלאה לאכוף את החוק באזור.</w:t>
      </w:r>
    </w:p>
    <w:p w:rsidR="00AA0441" w:rsidRDefault="00AA0441" w:rsidP="00AA0441">
      <w:pPr>
        <w:pStyle w:val="a7"/>
        <w:spacing w:line="280" w:lineRule="atLeast"/>
      </w:pPr>
    </w:p>
    <w:p w:rsidR="00AA0441" w:rsidRDefault="00AA0441" w:rsidP="00824837">
      <w:pPr>
        <w:pStyle w:val="a7"/>
        <w:numPr>
          <w:ilvl w:val="0"/>
          <w:numId w:val="3"/>
        </w:numPr>
        <w:jc w:val="both"/>
        <w:rPr>
          <w:rFonts w:ascii="Arial" w:hAnsi="Arial"/>
          <w:rtl/>
        </w:rPr>
      </w:pPr>
      <w:r>
        <w:rPr>
          <w:rFonts w:ascii="Arial" w:hAnsi="Arial" w:hint="cs"/>
          <w:rtl/>
        </w:rPr>
        <w:t xml:space="preserve">מחדלם של המשיבים מלאכוף את החוק ואת צווי ההריסה כנגד בתי העסק הבלתי חוקיים, ככל ואלו הוצאו, ולאפשר לעבריינים את המשך בניית המבנים והשימוש בהם, מצביע על חוסר סבירות קיצוני בפעולתם של המשיבים ועל שיקול דעת בלתי סביר בעליל, והכל תוך פגיעה בשלטון החוק במדינת ישראל ובאמון הציבור ברשויות המדינה. </w:t>
      </w:r>
    </w:p>
    <w:p w:rsidR="00AA0441" w:rsidRDefault="00AA0441" w:rsidP="00AA0441">
      <w:pPr>
        <w:pStyle w:val="a7"/>
        <w:spacing w:line="280" w:lineRule="atLeast"/>
        <w:rPr>
          <w:rFonts w:ascii="Arial" w:hAnsi="Arial"/>
        </w:rPr>
      </w:pPr>
    </w:p>
    <w:p w:rsidR="00AA0441" w:rsidRDefault="00AA0441" w:rsidP="00824837">
      <w:pPr>
        <w:pStyle w:val="a7"/>
        <w:numPr>
          <w:ilvl w:val="0"/>
          <w:numId w:val="3"/>
        </w:numPr>
        <w:jc w:val="both"/>
        <w:rPr>
          <w:rFonts w:ascii="Arial" w:hAnsi="Arial"/>
          <w:rtl/>
        </w:rPr>
      </w:pPr>
      <w:r>
        <w:rPr>
          <w:rFonts w:hint="cs"/>
          <w:rtl/>
        </w:rPr>
        <w:t xml:space="preserve">המשיבים מנצלים את שיקול הדעת הרחב שבית המשפט הנכבד מעניק לרשויות האכיפה במילוי </w:t>
      </w:r>
      <w:r w:rsidRPr="00824837">
        <w:rPr>
          <w:rFonts w:ascii="Arial" w:hAnsi="Arial" w:hint="cs"/>
          <w:rtl/>
        </w:rPr>
        <w:t>תפקידם</w:t>
      </w:r>
      <w:r>
        <w:rPr>
          <w:rFonts w:hint="cs"/>
          <w:rtl/>
        </w:rPr>
        <w:t xml:space="preserve">. אולם, גם שיקול דעת רחב זה אינו מקנה לרשויות מרחב בלתי מוגבל למלא את חובתן: </w:t>
      </w:r>
    </w:p>
    <w:p w:rsidR="00AA0441" w:rsidRDefault="00AA0441" w:rsidP="00AA0441">
      <w:pPr>
        <w:spacing w:line="280" w:lineRule="atLeast"/>
        <w:jc w:val="both"/>
        <w:rPr>
          <w:b/>
          <w:bCs/>
          <w:color w:val="373737"/>
        </w:rPr>
      </w:pPr>
    </w:p>
    <w:p w:rsidR="00AA0441" w:rsidRDefault="00AA0441" w:rsidP="00AA0441">
      <w:pPr>
        <w:snapToGrid w:val="0"/>
        <w:spacing w:line="280" w:lineRule="atLeast"/>
        <w:ind w:left="935" w:right="426"/>
        <w:jc w:val="both"/>
        <w:rPr>
          <w:b/>
          <w:bCs/>
          <w:color w:val="373737"/>
          <w:rtl/>
        </w:rPr>
      </w:pPr>
      <w:r>
        <w:rPr>
          <w:rFonts w:hint="cs"/>
          <w:b/>
          <w:bCs/>
          <w:color w:val="373737"/>
          <w:rtl/>
        </w:rPr>
        <w:t xml:space="preserve">"ההימנעות מלממש ולהגשים חוק קיים ומחייב, אינה מדיניות ואינה יכולה להיות מדיניות, מכל בחינה שהיא; היא רק גורמת לדמורליזציה ביחסי השלטון והאזרח, וגוררת אחריה פריקת עול של כל חוקי המדינה" </w:t>
      </w:r>
    </w:p>
    <w:p w:rsidR="00AA0441" w:rsidRDefault="00AA0441" w:rsidP="00AA0441">
      <w:pPr>
        <w:spacing w:line="280" w:lineRule="atLeast"/>
        <w:ind w:left="720"/>
        <w:jc w:val="both"/>
        <w:rPr>
          <w:rtl/>
        </w:rPr>
      </w:pPr>
    </w:p>
    <w:p w:rsidR="00AA0441" w:rsidRDefault="00AA0441" w:rsidP="00AA0441">
      <w:pPr>
        <w:spacing w:line="280" w:lineRule="atLeast"/>
        <w:ind w:left="793"/>
        <w:jc w:val="both"/>
        <w:rPr>
          <w:rtl/>
        </w:rPr>
      </w:pPr>
      <w:r>
        <w:t>)</w:t>
      </w:r>
      <w:r>
        <w:rPr>
          <w:rFonts w:hint="cs"/>
          <w:rtl/>
        </w:rPr>
        <w:t xml:space="preserve">בג"צ 65 / 295 </w:t>
      </w:r>
      <w:r>
        <w:rPr>
          <w:rFonts w:hint="cs"/>
          <w:b/>
          <w:bCs/>
          <w:rtl/>
        </w:rPr>
        <w:t>הלל אופנהימר, ו-7 אח' נ' שר הפנים והבריאות</w:t>
      </w:r>
      <w:r>
        <w:rPr>
          <w:rFonts w:hint="cs"/>
          <w:rtl/>
        </w:rPr>
        <w:t xml:space="preserve"> כ (1) 309, עמוד 32</w:t>
      </w:r>
      <w:r>
        <w:t xml:space="preserve">( </w:t>
      </w:r>
    </w:p>
    <w:p w:rsidR="00AA0441" w:rsidRDefault="00AA0441" w:rsidP="00AA0441">
      <w:pPr>
        <w:spacing w:after="160" w:line="280" w:lineRule="atLeast"/>
        <w:ind w:left="716" w:right="716"/>
        <w:jc w:val="both"/>
        <w:rPr>
          <w:b/>
          <w:bCs/>
          <w:rtl/>
        </w:rPr>
      </w:pPr>
    </w:p>
    <w:p w:rsidR="00AA0441" w:rsidRDefault="00AA0441" w:rsidP="00824837">
      <w:pPr>
        <w:pStyle w:val="a7"/>
        <w:numPr>
          <w:ilvl w:val="0"/>
          <w:numId w:val="3"/>
        </w:numPr>
        <w:jc w:val="both"/>
      </w:pPr>
      <w:r>
        <w:rPr>
          <w:rFonts w:hint="cs"/>
          <w:rtl/>
        </w:rPr>
        <w:t xml:space="preserve">המשיבים פוטרים עצמם מחובתם לאכוף את הדין תחת אצטלת "סדרי העדיפויות", ואל לו לבית המשפט הנכבד ליתן ידו לכך. וכבר נקבע </w:t>
      </w:r>
      <w:r w:rsidRPr="00E53291">
        <w:rPr>
          <w:rFonts w:hint="cs"/>
          <w:rtl/>
        </w:rPr>
        <w:t>ב</w:t>
      </w:r>
      <w:hyperlink r:id="rId15" w:history="1">
        <w:r w:rsidRPr="00E53291">
          <w:rPr>
            <w:rtl/>
          </w:rPr>
          <w:t>בג"ץ 5377/09</w:t>
        </w:r>
      </w:hyperlink>
      <w:r w:rsidRPr="00E53291">
        <w:rPr>
          <w:rFonts w:hint="cs"/>
          <w:rtl/>
        </w:rPr>
        <w:t xml:space="preserve"> </w:t>
      </w:r>
      <w:r w:rsidRPr="00E53291">
        <w:rPr>
          <w:rFonts w:hint="cs"/>
          <w:b/>
          <w:bCs/>
          <w:rtl/>
        </w:rPr>
        <w:t>רגבים נ' שר הבטחון</w:t>
      </w:r>
      <w:r>
        <w:rPr>
          <w:rFonts w:hint="cs"/>
          <w:rtl/>
        </w:rPr>
        <w:t xml:space="preserve">, </w:t>
      </w:r>
      <w:r w:rsidRPr="00BB7929">
        <w:rPr>
          <w:rtl/>
        </w:rPr>
        <w:t>[פורסם בנבו]</w:t>
      </w:r>
      <w:r>
        <w:rPr>
          <w:rFonts w:hint="cs"/>
          <w:rtl/>
        </w:rPr>
        <w:t xml:space="preserve">, כי: </w:t>
      </w:r>
    </w:p>
    <w:p w:rsidR="00824837" w:rsidRPr="00E53291" w:rsidRDefault="00824837" w:rsidP="00824837">
      <w:pPr>
        <w:pStyle w:val="a7"/>
        <w:ind w:left="716"/>
        <w:jc w:val="both"/>
      </w:pPr>
    </w:p>
    <w:p w:rsidR="00AA0441" w:rsidRDefault="00AA0441" w:rsidP="002111CA">
      <w:pPr>
        <w:spacing w:after="160" w:line="280" w:lineRule="atLeast"/>
        <w:ind w:left="935" w:right="426"/>
        <w:jc w:val="both"/>
        <w:rPr>
          <w:b/>
          <w:bCs/>
          <w:rtl/>
        </w:rPr>
      </w:pPr>
      <w:r>
        <w:rPr>
          <w:rFonts w:hint="cs"/>
          <w:b/>
          <w:bCs/>
          <w:color w:val="000000"/>
          <w:spacing w:val="10"/>
          <w:shd w:val="clear" w:color="auto" w:fill="FFFFFF"/>
          <w:rtl/>
        </w:rPr>
        <w:t>"</w:t>
      </w:r>
      <w:r w:rsidRPr="00E53291">
        <w:rPr>
          <w:rFonts w:hint="cs"/>
          <w:b/>
          <w:bCs/>
          <w:color w:val="000000"/>
          <w:spacing w:val="10"/>
          <w:shd w:val="clear" w:color="auto" w:fill="FFFFFF"/>
          <w:rtl/>
        </w:rPr>
        <w:t>גם אם קיימים סדרי עדיפויו</w:t>
      </w:r>
      <w:r>
        <w:rPr>
          <w:rFonts w:hint="cs"/>
          <w:b/>
          <w:bCs/>
          <w:color w:val="000000"/>
          <w:spacing w:val="10"/>
          <w:shd w:val="clear" w:color="auto" w:fill="FFFFFF"/>
          <w:rtl/>
        </w:rPr>
        <w:t>ת מוצדקים, אסור שהללו יהוו  – ולו</w:t>
      </w:r>
      <w:r w:rsidRPr="00E53291">
        <w:rPr>
          <w:rFonts w:hint="cs"/>
          <w:b/>
          <w:bCs/>
          <w:color w:val="000000"/>
          <w:spacing w:val="10"/>
          <w:shd w:val="clear" w:color="auto" w:fill="FFFFFF"/>
          <w:rtl/>
        </w:rPr>
        <w:t xml:space="preserve"> בלי משים ושלא במכוון– כסות להפקרות בבניה. כאמור חוק הוא חוק, בין אם מדובר בבניה בלתי חוקית בקרב התושבים הישראלים ביהודה ובשומרון, בין אם מדובר בתושבים הפלסטינים - ואין להלום מצב של "איש הישר בעיניו יעשה</w:t>
      </w:r>
      <w:r>
        <w:rPr>
          <w:b/>
          <w:bCs/>
          <w:color w:val="000000"/>
          <w:spacing w:val="10"/>
          <w:shd w:val="clear" w:color="auto" w:fill="FFFFFF"/>
        </w:rPr>
        <w:t>")</w:t>
      </w:r>
      <w:r w:rsidRPr="00E53291">
        <w:rPr>
          <w:rFonts w:hint="cs"/>
          <w:b/>
          <w:bCs/>
          <w:color w:val="000000"/>
          <w:shd w:val="clear" w:color="auto" w:fill="FFFFFF"/>
          <w:rtl/>
        </w:rPr>
        <w:t>שופטים</w:t>
      </w:r>
      <w:r w:rsidRPr="00E53291">
        <w:rPr>
          <w:rStyle w:val="apple-converted-space"/>
          <w:rFonts w:hint="cs"/>
          <w:b/>
          <w:bCs/>
          <w:color w:val="000000"/>
          <w:spacing w:val="10"/>
          <w:shd w:val="clear" w:color="auto" w:fill="FFFFFF"/>
          <w:rtl/>
        </w:rPr>
        <w:t> </w:t>
      </w:r>
      <w:r w:rsidRPr="00E53291">
        <w:rPr>
          <w:rFonts w:hint="cs"/>
          <w:b/>
          <w:bCs/>
          <w:color w:val="000000"/>
          <w:spacing w:val="10"/>
          <w:shd w:val="clear" w:color="auto" w:fill="FFFFFF"/>
          <w:rtl/>
        </w:rPr>
        <w:t>י"ז, ו'). חובת המפקד הצבאי היא לאכוף את החוק באזור</w:t>
      </w:r>
      <w:r>
        <w:rPr>
          <w:rFonts w:hint="cs"/>
          <w:b/>
          <w:bCs/>
          <w:color w:val="000000"/>
          <w:spacing w:val="10"/>
          <w:shd w:val="clear" w:color="auto" w:fill="FFFFFF"/>
          <w:rtl/>
        </w:rPr>
        <w:t xml:space="preserve">, </w:t>
      </w:r>
      <w:r w:rsidRPr="00E53291">
        <w:rPr>
          <w:rFonts w:hint="cs"/>
          <w:b/>
          <w:bCs/>
          <w:color w:val="000000"/>
          <w:spacing w:val="10"/>
          <w:shd w:val="clear" w:color="auto" w:fill="FFFFFF"/>
          <w:rtl/>
        </w:rPr>
        <w:t>ולא למותר להזכיר כי דיני התכנון - בישראל ובאזור - נועדו להבטיח בניה ופיתוח נאותים בהווה ובמבט צופה פני עתיד (וכבר נדרש בית משפט זה גם לחובתו המשלימה של המושל הצבאי לדאוג לקדם תכנית בניה ב</w:t>
      </w:r>
      <w:r>
        <w:rPr>
          <w:rFonts w:hint="cs"/>
          <w:b/>
          <w:bCs/>
          <w:color w:val="000000"/>
          <w:spacing w:val="10"/>
          <w:shd w:val="clear" w:color="auto" w:fill="FFFFFF"/>
          <w:rtl/>
        </w:rPr>
        <w:t xml:space="preserve">אזור </w:t>
      </w:r>
      <w:r>
        <w:rPr>
          <w:b/>
          <w:bCs/>
          <w:color w:val="000000"/>
          <w:spacing w:val="10"/>
          <w:shd w:val="clear" w:color="auto" w:fill="FFFFFF"/>
          <w:rtl/>
        </w:rPr>
        <w:t>–</w:t>
      </w:r>
      <w:r>
        <w:rPr>
          <w:rFonts w:hint="cs"/>
          <w:b/>
          <w:bCs/>
          <w:color w:val="000000"/>
          <w:spacing w:val="10"/>
          <w:shd w:val="clear" w:color="auto" w:fill="FFFFFF"/>
          <w:rtl/>
        </w:rPr>
        <w:t xml:space="preserve"> ראו: </w:t>
      </w:r>
      <w:hyperlink r:id="rId16" w:tgtFrame="blank" w:history="1">
        <w:r w:rsidRPr="00825583">
          <w:rPr>
            <w:rStyle w:val="Hyperlink"/>
            <w:rFonts w:hint="cs"/>
            <w:color w:val="auto"/>
            <w:spacing w:val="10"/>
            <w:u w:val="none"/>
            <w:shd w:val="clear" w:color="auto" w:fill="FFFFFF"/>
            <w:rtl/>
          </w:rPr>
          <w:t>בג"צ 7151/05</w:t>
        </w:r>
      </w:hyperlink>
      <w:r w:rsidRPr="00825583">
        <w:rPr>
          <w:rStyle w:val="apple-converted-space"/>
          <w:rFonts w:hint="cs"/>
          <w:b/>
          <w:bCs/>
          <w:spacing w:val="10"/>
          <w:shd w:val="clear" w:color="auto" w:fill="FFFFFF"/>
        </w:rPr>
        <w:t> </w:t>
      </w:r>
      <w:r w:rsidRPr="00825583">
        <w:rPr>
          <w:rFonts w:hint="cs"/>
          <w:b/>
          <w:bCs/>
          <w:shd w:val="clear" w:color="auto" w:fill="FFFFFF"/>
          <w:rtl/>
        </w:rPr>
        <w:t>אלנג'אדה נ' מפקד כוחות צה"ל בגדה המערבית</w:t>
      </w:r>
      <w:r w:rsidRPr="00825583">
        <w:rPr>
          <w:rStyle w:val="apple-converted-space"/>
          <w:rFonts w:hint="cs"/>
          <w:b/>
          <w:bCs/>
          <w:spacing w:val="10"/>
          <w:shd w:val="clear" w:color="auto" w:fill="FFFFFF"/>
          <w:rtl/>
        </w:rPr>
        <w:t> </w:t>
      </w:r>
      <w:r w:rsidRPr="00825583">
        <w:rPr>
          <w:rFonts w:hint="cs"/>
          <w:b/>
          <w:bCs/>
          <w:shd w:val="clear" w:color="auto" w:fill="FFFFFF"/>
          <w:rtl/>
        </w:rPr>
        <w:t>[פורסם בנבו] פ</w:t>
      </w:r>
      <w:r w:rsidRPr="00825583">
        <w:rPr>
          <w:rFonts w:hint="cs"/>
          <w:b/>
          <w:bCs/>
          <w:spacing w:val="10"/>
          <w:shd w:val="clear" w:color="auto" w:fill="FFFFFF"/>
          <w:rtl/>
        </w:rPr>
        <w:t>סקה 3</w:t>
      </w:r>
      <w:r w:rsidRPr="00825583">
        <w:rPr>
          <w:rFonts w:hint="cs"/>
          <w:b/>
          <w:bCs/>
          <w:spacing w:val="10"/>
          <w:shd w:val="clear" w:color="auto" w:fill="FFFFFF"/>
        </w:rPr>
        <w:t>;</w:t>
      </w:r>
      <w:r w:rsidRPr="00825583">
        <w:rPr>
          <w:spacing w:val="10"/>
          <w:shd w:val="clear" w:color="auto" w:fill="FFFFFF"/>
        </w:rPr>
        <w:t xml:space="preserve">  </w:t>
      </w:r>
      <w:hyperlink r:id="rId17" w:tgtFrame="blank" w:history="1">
        <w:r w:rsidRPr="00825583">
          <w:rPr>
            <w:rStyle w:val="Hyperlink"/>
            <w:rFonts w:hint="cs"/>
            <w:color w:val="auto"/>
            <w:spacing w:val="10"/>
            <w:u w:val="none"/>
            <w:shd w:val="clear" w:color="auto" w:fill="FFFFFF"/>
            <w:rtl/>
          </w:rPr>
          <w:t>בג"צ 6288/09</w:t>
        </w:r>
      </w:hyperlink>
      <w:r w:rsidRPr="00825583">
        <w:rPr>
          <w:rStyle w:val="apple-converted-space"/>
          <w:rFonts w:hint="cs"/>
          <w:b/>
          <w:bCs/>
          <w:spacing w:val="10"/>
          <w:shd w:val="clear" w:color="auto" w:fill="FFFFFF"/>
        </w:rPr>
        <w:t> </w:t>
      </w:r>
      <w:r w:rsidRPr="00E53291">
        <w:rPr>
          <w:rFonts w:hint="cs"/>
          <w:b/>
          <w:bCs/>
          <w:color w:val="000000"/>
          <w:shd w:val="clear" w:color="auto" w:fill="FFFFFF"/>
          <w:rtl/>
        </w:rPr>
        <w:t>עראערה נ' ראש המנהל האזרחי לאיו"ש</w:t>
      </w:r>
      <w:r w:rsidRPr="00E53291">
        <w:rPr>
          <w:rStyle w:val="apple-converted-space"/>
          <w:rFonts w:hint="cs"/>
          <w:b/>
          <w:bCs/>
          <w:color w:val="000000"/>
          <w:spacing w:val="10"/>
          <w:shd w:val="clear" w:color="auto" w:fill="FFFFFF"/>
          <w:rtl/>
        </w:rPr>
        <w:t> </w:t>
      </w:r>
      <w:r>
        <w:rPr>
          <w:b/>
          <w:bCs/>
          <w:color w:val="000000"/>
          <w:shd w:val="clear" w:color="auto" w:fill="FFFFFF"/>
        </w:rPr>
        <w:t>]</w:t>
      </w:r>
      <w:r w:rsidRPr="00E53291">
        <w:rPr>
          <w:rFonts w:hint="cs"/>
          <w:b/>
          <w:bCs/>
          <w:color w:val="000000"/>
          <w:shd w:val="clear" w:color="auto" w:fill="FFFFFF"/>
          <w:rtl/>
        </w:rPr>
        <w:t>פורסם בנבו</w:t>
      </w:r>
      <w:r>
        <w:rPr>
          <w:rFonts w:hint="cs"/>
          <w:b/>
          <w:bCs/>
          <w:color w:val="000000"/>
          <w:shd w:val="clear" w:color="auto" w:fill="FFFFFF"/>
          <w:rtl/>
        </w:rPr>
        <w:t>] (פסקה 10).</w:t>
      </w:r>
    </w:p>
    <w:p w:rsidR="002111CA" w:rsidRPr="00E53291" w:rsidRDefault="002111CA" w:rsidP="002111CA">
      <w:pPr>
        <w:spacing w:after="160" w:line="280" w:lineRule="atLeast"/>
        <w:ind w:left="935" w:right="426"/>
        <w:jc w:val="both"/>
        <w:rPr>
          <w:b/>
          <w:bCs/>
        </w:rPr>
      </w:pPr>
    </w:p>
    <w:p w:rsidR="00AA0441" w:rsidRDefault="00AA0441" w:rsidP="00824837">
      <w:pPr>
        <w:pStyle w:val="a7"/>
        <w:numPr>
          <w:ilvl w:val="0"/>
          <w:numId w:val="3"/>
        </w:numPr>
        <w:jc w:val="both"/>
        <w:rPr>
          <w:b/>
          <w:bCs/>
        </w:rPr>
      </w:pPr>
      <w:r>
        <w:rPr>
          <w:rFonts w:hint="cs"/>
          <w:rtl/>
        </w:rPr>
        <w:t xml:space="preserve">מן המקובץ, ניכר עד כמה היעדר פעולות המשיבים לאכיפת החוק ולנקיטת הליכים כנגד בתי העסק הבלתי חוקיים שנבנו ע"י עברייני הבניה מהווה מסר לא ראוי לציבור כולו לפיו רשויות האכיפה אינן שוקדות על שירושן של תופעות עברייניות ואינן עושות די על מנת שתופעות כגון אלו לא יישנו. </w:t>
      </w:r>
    </w:p>
    <w:p w:rsidR="00AA0441" w:rsidRDefault="00AA0441" w:rsidP="00AA0441">
      <w:pPr>
        <w:pStyle w:val="a7"/>
        <w:spacing w:line="280" w:lineRule="atLeast"/>
        <w:rPr>
          <w:b/>
          <w:bCs/>
        </w:rPr>
      </w:pPr>
    </w:p>
    <w:p w:rsidR="00AA0441" w:rsidRDefault="00AA0441" w:rsidP="00824837">
      <w:pPr>
        <w:pStyle w:val="a7"/>
        <w:numPr>
          <w:ilvl w:val="0"/>
          <w:numId w:val="3"/>
        </w:numPr>
        <w:jc w:val="both"/>
        <w:rPr>
          <w:rtl/>
        </w:rPr>
      </w:pPr>
      <w:r>
        <w:rPr>
          <w:rFonts w:hint="cs"/>
          <w:rtl/>
        </w:rPr>
        <w:t>המשיבים משדרים לציבור כולו כי ניתן לקחת את החוק לידיים, שהרי העבריינים ממשיכים בהפעלת בתי העסק הבלתי חוקיים חרף הצווים אשר נמסרו לידיהם, ככל ואלו אכן נמסרו, ללא שיש בידם כל רישיון להפעלת עסק</w:t>
      </w:r>
      <w:r w:rsidR="00D55FAD">
        <w:rPr>
          <w:rFonts w:hint="cs"/>
          <w:rtl/>
        </w:rPr>
        <w:t>-</w:t>
      </w:r>
      <w:r>
        <w:rPr>
          <w:rFonts w:hint="cs"/>
          <w:rtl/>
        </w:rPr>
        <w:t xml:space="preserve"> ותוך גרימת סיכונים בטיחותיים וביטחוניים ראשונים במעלה, מתוך זלזול בוטה וחד משמעי בשלטון החוק, מתוך ידיעה ברורה כי המשיבים לא יעשו דבר כדי למנוע זאת.</w:t>
      </w:r>
    </w:p>
    <w:p w:rsidR="00AA0441" w:rsidRDefault="00AA0441" w:rsidP="00AA0441">
      <w:pPr>
        <w:pStyle w:val="a7"/>
        <w:spacing w:line="280" w:lineRule="atLeast"/>
      </w:pPr>
    </w:p>
    <w:p w:rsidR="00AA0441" w:rsidRDefault="00AA0441" w:rsidP="00824837">
      <w:pPr>
        <w:pStyle w:val="a7"/>
        <w:numPr>
          <w:ilvl w:val="0"/>
          <w:numId w:val="3"/>
        </w:numPr>
        <w:jc w:val="both"/>
        <w:rPr>
          <w:b/>
          <w:bCs/>
          <w:rtl/>
        </w:rPr>
      </w:pPr>
      <w:r>
        <w:rPr>
          <w:rFonts w:hint="cs"/>
          <w:b/>
          <w:bCs/>
          <w:rtl/>
        </w:rPr>
        <w:t xml:space="preserve">על יסוד כל האמור יתבקש בית המשפט הנכבד להוציא מלפניו צו על תנאי כמבוקש ברישא של עתירה זו ולאחר קבלת תגובת המשיבים ושמיעת טיעונים בעל-פה להפכו </w:t>
      </w:r>
      <w:r w:rsidRPr="00824837">
        <w:rPr>
          <w:rFonts w:hint="cs"/>
          <w:b/>
          <w:bCs/>
          <w:rtl/>
        </w:rPr>
        <w:t>למוחלט</w:t>
      </w:r>
      <w:r>
        <w:rPr>
          <w:rFonts w:hint="cs"/>
          <w:b/>
          <w:bCs/>
          <w:rtl/>
        </w:rPr>
        <w:t>. כן יתבקש בית המשפט הנכבד להורות למשיבים למסור לעותרת ללא דיחוי את פרטי עברייני הבניה הנמצאים בידיה, על מנת שניתן יהיה לצרפם כמשיבים לעתירה.</w:t>
      </w:r>
    </w:p>
    <w:p w:rsidR="00AA0441" w:rsidRDefault="00AA0441" w:rsidP="00AA0441">
      <w:pPr>
        <w:spacing w:line="280" w:lineRule="atLeast"/>
        <w:jc w:val="right"/>
      </w:pPr>
    </w:p>
    <w:p w:rsidR="00AA0441" w:rsidRDefault="00AA0441" w:rsidP="00824837">
      <w:pPr>
        <w:pStyle w:val="a7"/>
        <w:numPr>
          <w:ilvl w:val="0"/>
          <w:numId w:val="3"/>
        </w:numPr>
        <w:jc w:val="both"/>
        <w:rPr>
          <w:rtl/>
        </w:rPr>
      </w:pPr>
      <w:r>
        <w:rPr>
          <w:rFonts w:hint="cs"/>
          <w:rtl/>
        </w:rPr>
        <w:t>כן מופנה בית המשפט לכך שבעקבות הימנעותם של המשיבים מליתן כל מענה</w:t>
      </w:r>
      <w:r w:rsidR="00824837">
        <w:rPr>
          <w:rFonts w:hint="cs"/>
          <w:rtl/>
        </w:rPr>
        <w:t xml:space="preserve"> ו/או מענה</w:t>
      </w:r>
      <w:r>
        <w:rPr>
          <w:rFonts w:hint="cs"/>
          <w:rtl/>
        </w:rPr>
        <w:t xml:space="preserve"> </w:t>
      </w:r>
      <w:r w:rsidR="00824837">
        <w:rPr>
          <w:rFonts w:hint="cs"/>
          <w:rtl/>
        </w:rPr>
        <w:t xml:space="preserve">ענייני </w:t>
      </w:r>
      <w:r>
        <w:rPr>
          <w:rFonts w:hint="cs"/>
          <w:rtl/>
        </w:rPr>
        <w:t xml:space="preserve">לפניית העותרת כנדרש בסעיף 2 לחוק לתיקון סדרי מנהל, הרי שבהתאם להוראות סעיף 6 לאותו חוק נשמטת תחת רגלי המשיבים חזקת תקינות המעשה המנהלי ועליהם מוטל הנטל להוכיח בפני בית המשפט הנכבד כי הם פעלו ופועלים כדין ובסבירות בכל הקשור לאכיפת חוקי הבנייה וכל דין אחר ביחס לאמור בעתירה זו. </w:t>
      </w:r>
    </w:p>
    <w:p w:rsidR="00AA0441" w:rsidRDefault="00AA0441" w:rsidP="00AA0441">
      <w:pPr>
        <w:spacing w:line="280" w:lineRule="atLeast"/>
        <w:jc w:val="both"/>
      </w:pPr>
    </w:p>
    <w:p w:rsidR="00AA0441" w:rsidRDefault="00AA0441" w:rsidP="00AA0441">
      <w:pPr>
        <w:numPr>
          <w:ilvl w:val="0"/>
          <w:numId w:val="2"/>
        </w:numPr>
        <w:tabs>
          <w:tab w:val="num" w:pos="566"/>
        </w:tabs>
        <w:spacing w:line="280" w:lineRule="atLeast"/>
        <w:ind w:left="566" w:hanging="540"/>
        <w:jc w:val="both"/>
        <w:rPr>
          <w:b/>
          <w:bCs/>
          <w:sz w:val="28"/>
          <w:szCs w:val="28"/>
        </w:rPr>
      </w:pPr>
      <w:r>
        <w:rPr>
          <w:rFonts w:hint="cs"/>
          <w:b/>
          <w:bCs/>
          <w:sz w:val="28"/>
          <w:szCs w:val="28"/>
          <w:rtl/>
        </w:rPr>
        <w:t>הוצאת צו ביניים וצו ארעי:</w:t>
      </w:r>
    </w:p>
    <w:p w:rsidR="00AA0441" w:rsidRPr="00AA0441" w:rsidRDefault="00AA0441" w:rsidP="00824837">
      <w:pPr>
        <w:pStyle w:val="a7"/>
        <w:ind w:left="716"/>
        <w:jc w:val="both"/>
        <w:rPr>
          <w:rFonts w:ascii="Arial" w:hAnsi="Arial"/>
        </w:rPr>
      </w:pPr>
    </w:p>
    <w:p w:rsidR="001241EA" w:rsidRDefault="001241EA" w:rsidP="001241EA">
      <w:pPr>
        <w:numPr>
          <w:ilvl w:val="0"/>
          <w:numId w:val="3"/>
        </w:numPr>
        <w:spacing w:line="280" w:lineRule="atLeast"/>
        <w:jc w:val="both"/>
      </w:pPr>
      <w:r>
        <w:rPr>
          <w:rFonts w:hint="cs"/>
          <w:rtl/>
        </w:rPr>
        <w:t>המצב המתואר בעתירה זו חמור ומקומם. מדובר בהתנהלות חמורה ומתמשכת של עצימת עין ומתן "היתר שבשתיקה" לביצוע עבירות בנייה והכל תחת אצטלת "סדרי העדיפויות".</w:t>
      </w:r>
    </w:p>
    <w:p w:rsidR="001241EA" w:rsidRDefault="001241EA" w:rsidP="001241EA">
      <w:pPr>
        <w:spacing w:line="280" w:lineRule="atLeast"/>
        <w:ind w:left="716"/>
        <w:jc w:val="both"/>
      </w:pPr>
    </w:p>
    <w:p w:rsidR="001241EA" w:rsidRDefault="001241EA" w:rsidP="00E616FB">
      <w:pPr>
        <w:numPr>
          <w:ilvl w:val="0"/>
          <w:numId w:val="3"/>
        </w:numPr>
        <w:spacing w:line="300" w:lineRule="atLeast"/>
        <w:jc w:val="both"/>
      </w:pPr>
      <w:r>
        <w:rPr>
          <w:rFonts w:hint="cs"/>
          <w:rtl/>
        </w:rPr>
        <w:t>העותרת מבקשת מבית המשפט הנכבד להוציא מלפניו צו ביניים המורה למשיבים 4-</w:t>
      </w:r>
      <w:r w:rsidR="00E616FB">
        <w:rPr>
          <w:rFonts w:hint="cs"/>
          <w:rtl/>
        </w:rPr>
        <w:t>5</w:t>
      </w:r>
      <w:r>
        <w:rPr>
          <w:rFonts w:hint="cs"/>
          <w:rtl/>
        </w:rPr>
        <w:t xml:space="preserve"> ו/או למי מטעמם</w:t>
      </w:r>
      <w:r>
        <w:rPr>
          <w:rFonts w:hint="cs"/>
          <w:b/>
          <w:bCs/>
          <w:rtl/>
        </w:rPr>
        <w:t xml:space="preserve"> לחדול מידית וללא דיחוי משימוש והפעלת בתי העסק הבלתי חוקיים, והכל עד למתן פסק דין סופי בעתירה זו.</w:t>
      </w:r>
    </w:p>
    <w:p w:rsidR="001241EA" w:rsidRDefault="001241EA" w:rsidP="001241EA">
      <w:pPr>
        <w:spacing w:line="300" w:lineRule="atLeast"/>
        <w:ind w:left="26"/>
        <w:jc w:val="both"/>
      </w:pPr>
    </w:p>
    <w:p w:rsidR="001241EA" w:rsidRDefault="001241EA" w:rsidP="001241EA">
      <w:pPr>
        <w:numPr>
          <w:ilvl w:val="0"/>
          <w:numId w:val="3"/>
        </w:numPr>
        <w:spacing w:line="300" w:lineRule="atLeast"/>
        <w:jc w:val="both"/>
        <w:rPr>
          <w:rFonts w:ascii="Arial" w:hAnsi="Arial"/>
          <w:rtl/>
        </w:rPr>
      </w:pPr>
      <w:r>
        <w:rPr>
          <w:rFonts w:ascii="Arial" w:hAnsi="Arial" w:hint="cs"/>
          <w:rtl/>
        </w:rPr>
        <w:t>בנוסף העותרת תבקש מבית המשפט הנכבד להוציא מלפניו צו ארעי שתוכנו זהה לצו הביניים, עד לקבלת תגובת המשיבים לבקשה לצו ביניים, ושיעמוד עד להחלטה בבקשה לצו ביניים כמפורט להלן.</w:t>
      </w:r>
    </w:p>
    <w:p w:rsidR="001241EA" w:rsidRDefault="001241EA" w:rsidP="001241EA">
      <w:pPr>
        <w:spacing w:line="300" w:lineRule="atLeast"/>
        <w:jc w:val="both"/>
        <w:rPr>
          <w:rFonts w:ascii="Arial" w:hAnsi="Arial"/>
        </w:rPr>
      </w:pPr>
    </w:p>
    <w:p w:rsidR="001241EA" w:rsidRDefault="001241EA" w:rsidP="00E616FB">
      <w:pPr>
        <w:numPr>
          <w:ilvl w:val="0"/>
          <w:numId w:val="3"/>
        </w:numPr>
        <w:spacing w:line="300" w:lineRule="atLeast"/>
        <w:jc w:val="both"/>
        <w:rPr>
          <w:rFonts w:ascii="Arial" w:hAnsi="Arial"/>
          <w:b/>
          <w:bCs/>
          <w:u w:val="single"/>
        </w:rPr>
      </w:pPr>
      <w:r>
        <w:rPr>
          <w:rFonts w:ascii="Arial" w:hAnsi="Arial" w:hint="cs"/>
          <w:b/>
          <w:bCs/>
          <w:u w:val="single"/>
          <w:rtl/>
        </w:rPr>
        <w:t xml:space="preserve">כאמור ובהתאם לתמונות אשר צורפו לעיל, המשך הפעלת בתי העסק, אשר נבנו בצמוד ממש לכביש </w:t>
      </w:r>
      <w:r w:rsidR="00E616FB">
        <w:rPr>
          <w:rFonts w:ascii="Arial" w:hAnsi="Arial" w:hint="cs"/>
          <w:b/>
          <w:bCs/>
          <w:u w:val="single"/>
          <w:rtl/>
        </w:rPr>
        <w:t>הגישה לישוב גבעון החדשה</w:t>
      </w:r>
      <w:r>
        <w:rPr>
          <w:rFonts w:ascii="Arial" w:hAnsi="Arial" w:hint="cs"/>
          <w:b/>
          <w:bCs/>
          <w:u w:val="single"/>
          <w:rtl/>
        </w:rPr>
        <w:t xml:space="preserve">, </w:t>
      </w:r>
      <w:r w:rsidR="002111CA">
        <w:rPr>
          <w:rFonts w:ascii="Arial" w:hAnsi="Arial" w:hint="cs"/>
          <w:b/>
          <w:bCs/>
          <w:u w:val="single"/>
          <w:rtl/>
        </w:rPr>
        <w:t xml:space="preserve"> בניגוד לצו איסור בניה שחל במקום, </w:t>
      </w:r>
      <w:r>
        <w:rPr>
          <w:rFonts w:ascii="Arial" w:hAnsi="Arial" w:hint="cs"/>
          <w:b/>
          <w:bCs/>
          <w:u w:val="single"/>
          <w:rtl/>
        </w:rPr>
        <w:t xml:space="preserve">מהווה סיכון בטיחותי </w:t>
      </w:r>
      <w:r w:rsidR="00E616FB">
        <w:rPr>
          <w:rFonts w:ascii="Arial" w:hAnsi="Arial" w:hint="cs"/>
          <w:b/>
          <w:bCs/>
          <w:u w:val="single"/>
          <w:rtl/>
        </w:rPr>
        <w:t xml:space="preserve">וביטחוני </w:t>
      </w:r>
      <w:r>
        <w:rPr>
          <w:rFonts w:ascii="Arial" w:hAnsi="Arial" w:hint="cs"/>
          <w:b/>
          <w:bCs/>
          <w:u w:val="single"/>
          <w:rtl/>
        </w:rPr>
        <w:t xml:space="preserve">ראשון במעלה, וכנ"ל מגדילה באופן משמעותי את </w:t>
      </w:r>
      <w:r w:rsidR="00E616FB">
        <w:rPr>
          <w:rFonts w:ascii="Arial" w:hAnsi="Arial" w:hint="cs"/>
          <w:b/>
          <w:bCs/>
          <w:u w:val="single"/>
          <w:rtl/>
        </w:rPr>
        <w:t>הסיכון</w:t>
      </w:r>
      <w:r>
        <w:rPr>
          <w:rFonts w:ascii="Arial" w:hAnsi="Arial" w:hint="cs"/>
          <w:b/>
          <w:bCs/>
          <w:u w:val="single"/>
          <w:rtl/>
        </w:rPr>
        <w:t xml:space="preserve"> </w:t>
      </w:r>
      <w:r w:rsidR="00E616FB">
        <w:rPr>
          <w:rFonts w:ascii="Arial" w:hAnsi="Arial" w:hint="cs"/>
          <w:b/>
          <w:bCs/>
          <w:u w:val="single"/>
          <w:rtl/>
        </w:rPr>
        <w:t>ל</w:t>
      </w:r>
      <w:r>
        <w:rPr>
          <w:rFonts w:ascii="Arial" w:hAnsi="Arial" w:hint="cs"/>
          <w:b/>
          <w:bCs/>
          <w:u w:val="single"/>
          <w:rtl/>
        </w:rPr>
        <w:t>פגיעה בחיי אדם,  ומשכך הצורך החיוני והדחוף ביותר בהוצאת צו ביניים וצו ארעי.</w:t>
      </w:r>
    </w:p>
    <w:p w:rsidR="001241EA" w:rsidRDefault="001241EA" w:rsidP="001241EA">
      <w:pPr>
        <w:spacing w:line="300" w:lineRule="atLeast"/>
        <w:jc w:val="both"/>
        <w:rPr>
          <w:rFonts w:ascii="Arial" w:hAnsi="Arial"/>
        </w:rPr>
      </w:pPr>
    </w:p>
    <w:p w:rsidR="001241EA" w:rsidRDefault="001241EA" w:rsidP="00E616FB">
      <w:pPr>
        <w:numPr>
          <w:ilvl w:val="0"/>
          <w:numId w:val="3"/>
        </w:numPr>
        <w:spacing w:line="300" w:lineRule="atLeast"/>
        <w:jc w:val="both"/>
        <w:rPr>
          <w:rFonts w:ascii="Arial" w:hAnsi="Arial"/>
          <w:b/>
          <w:bCs/>
          <w:sz w:val="26"/>
          <w:szCs w:val="26"/>
          <w:rtl/>
        </w:rPr>
      </w:pPr>
      <w:r>
        <w:rPr>
          <w:rFonts w:ascii="Arial" w:hAnsi="Arial" w:hint="cs"/>
          <w:b/>
          <w:bCs/>
          <w:sz w:val="26"/>
          <w:szCs w:val="26"/>
          <w:rtl/>
        </w:rPr>
        <w:t xml:space="preserve">עוד תטען העותרת, כי מאחר ומדובר במבנים שנבנו בניגוד לחוק ע"י העבריינים בסמוך לכביש הראשי באזור, </w:t>
      </w:r>
      <w:r w:rsidR="002111CA">
        <w:rPr>
          <w:rFonts w:ascii="Arial" w:hAnsi="Arial" w:hint="cs"/>
          <w:b/>
          <w:bCs/>
          <w:sz w:val="26"/>
          <w:szCs w:val="26"/>
          <w:rtl/>
        </w:rPr>
        <w:t xml:space="preserve">בניגוד לצו איסור בניה החל במקום, </w:t>
      </w:r>
      <w:r w:rsidR="00E616FB">
        <w:rPr>
          <w:rFonts w:ascii="Arial" w:hAnsi="Arial" w:hint="cs"/>
          <w:b/>
          <w:bCs/>
          <w:sz w:val="26"/>
          <w:szCs w:val="26"/>
          <w:rtl/>
        </w:rPr>
        <w:t>על חורבות מבנים קודמים שנהרסו ע"י רשויות האכיפה,</w:t>
      </w:r>
      <w:r>
        <w:rPr>
          <w:rFonts w:ascii="Arial" w:hAnsi="Arial" w:hint="cs"/>
          <w:b/>
          <w:bCs/>
          <w:sz w:val="26"/>
          <w:szCs w:val="26"/>
          <w:rtl/>
        </w:rPr>
        <w:t xml:space="preserve"> ואף בניגוד לצווים תכנוניים שנמסרו לידיהם, ככל ואלו אכן נמסרו, וללא שהמשיבים 4-</w:t>
      </w:r>
      <w:r w:rsidR="00E616FB">
        <w:rPr>
          <w:rFonts w:ascii="Arial" w:hAnsi="Arial" w:hint="cs"/>
          <w:b/>
          <w:bCs/>
          <w:sz w:val="26"/>
          <w:szCs w:val="26"/>
          <w:rtl/>
        </w:rPr>
        <w:t>5</w:t>
      </w:r>
      <w:r>
        <w:rPr>
          <w:rFonts w:ascii="Arial" w:hAnsi="Arial" w:hint="cs"/>
          <w:b/>
          <w:bCs/>
          <w:sz w:val="26"/>
          <w:szCs w:val="26"/>
          <w:rtl/>
        </w:rPr>
        <w:t xml:space="preserve"> ו/או מי מטעמם מחזיקים בידיהם רישיון להפעלת העסקים במקום, תוך שהמשיבים 4-</w:t>
      </w:r>
      <w:r w:rsidR="00E616FB">
        <w:rPr>
          <w:rFonts w:ascii="Arial" w:hAnsi="Arial" w:hint="cs"/>
          <w:b/>
          <w:bCs/>
          <w:sz w:val="26"/>
          <w:szCs w:val="26"/>
          <w:rtl/>
        </w:rPr>
        <w:t>5</w:t>
      </w:r>
      <w:r>
        <w:rPr>
          <w:rFonts w:ascii="Arial" w:hAnsi="Arial" w:hint="cs"/>
          <w:b/>
          <w:bCs/>
          <w:sz w:val="26"/>
          <w:szCs w:val="26"/>
          <w:rtl/>
        </w:rPr>
        <w:t xml:space="preserve"> עושים "חוכא ואיתלולא" מרשויות האכיפה, </w:t>
      </w:r>
      <w:r>
        <w:rPr>
          <w:rFonts w:ascii="Arial" w:hAnsi="Arial" w:hint="cs"/>
          <w:b/>
          <w:bCs/>
          <w:sz w:val="26"/>
          <w:szCs w:val="26"/>
          <w:u w:val="single"/>
          <w:rtl/>
        </w:rPr>
        <w:t>הרי ממילא ברי כי אין ולו סיכוי קלוש ביותר שבנייתם תאושר, ולו בדיעבד</w:t>
      </w:r>
      <w:r>
        <w:rPr>
          <w:rFonts w:ascii="Arial" w:hAnsi="Arial" w:hint="cs"/>
          <w:b/>
          <w:bCs/>
          <w:sz w:val="26"/>
          <w:szCs w:val="26"/>
          <w:rtl/>
        </w:rPr>
        <w:t>, ולפיכך לא ייגרם כל נזק לעבריינים מהוצאת צו הביניים והצו הארעי.</w:t>
      </w:r>
    </w:p>
    <w:p w:rsidR="001241EA" w:rsidRDefault="001241EA" w:rsidP="001241EA">
      <w:pPr>
        <w:spacing w:line="300" w:lineRule="atLeast"/>
        <w:rPr>
          <w:b/>
          <w:bCs/>
        </w:rPr>
      </w:pPr>
    </w:p>
    <w:p w:rsidR="001241EA" w:rsidRDefault="001241EA" w:rsidP="001241EA">
      <w:pPr>
        <w:numPr>
          <w:ilvl w:val="0"/>
          <w:numId w:val="3"/>
        </w:numPr>
        <w:spacing w:line="300" w:lineRule="atLeast"/>
        <w:jc w:val="both"/>
      </w:pPr>
      <w:r>
        <w:rPr>
          <w:rFonts w:hint="cs"/>
          <w:rtl/>
        </w:rPr>
        <w:t xml:space="preserve">מאחר ואין חולק על כי מדובר בעבודות ומעשים בלתי חוקיים הרי שלא תפגע בשל הוצאת צו הביניים וצו על תנאי שום זכות קנויה של העבריינים (לאף אדם אין זכות קנויה להפר את החוק), </w:t>
      </w:r>
      <w:r w:rsidRPr="00D9620E">
        <w:rPr>
          <w:rFonts w:hint="cs"/>
          <w:rtl/>
        </w:rPr>
        <w:t xml:space="preserve">ועל כן </w:t>
      </w:r>
      <w:r w:rsidRPr="00D9620E">
        <w:rPr>
          <w:rFonts w:hint="cs"/>
          <w:b/>
          <w:bCs/>
          <w:u w:val="single"/>
          <w:rtl/>
        </w:rPr>
        <w:t>מאזן הנוחות תומך בהוצאת הצו כמבוקש</w:t>
      </w:r>
      <w:r>
        <w:rPr>
          <w:rFonts w:hint="cs"/>
          <w:rtl/>
        </w:rPr>
        <w:t xml:space="preserve">. </w:t>
      </w:r>
    </w:p>
    <w:p w:rsidR="001241EA" w:rsidRPr="00D9620E" w:rsidRDefault="001241EA" w:rsidP="001241EA">
      <w:pPr>
        <w:spacing w:line="300" w:lineRule="atLeast"/>
        <w:ind w:left="716"/>
        <w:jc w:val="both"/>
      </w:pPr>
    </w:p>
    <w:p w:rsidR="001241EA" w:rsidRDefault="001241EA" w:rsidP="00E616FB">
      <w:pPr>
        <w:numPr>
          <w:ilvl w:val="0"/>
          <w:numId w:val="3"/>
        </w:numPr>
        <w:spacing w:line="300" w:lineRule="atLeast"/>
        <w:jc w:val="both"/>
      </w:pPr>
      <w:r>
        <w:rPr>
          <w:rFonts w:hint="cs"/>
          <w:rtl/>
        </w:rPr>
        <w:t xml:space="preserve">גם מבחינת סיכויי העתירה נראה כי הכף נוטה לטובת הוצאת צו הביניים וצו ארעי </w:t>
      </w:r>
      <w:r w:rsidRPr="00D9620E">
        <w:rPr>
          <w:rFonts w:hint="cs"/>
          <w:rtl/>
        </w:rPr>
        <w:t>כמבוקש</w:t>
      </w:r>
      <w:r>
        <w:rPr>
          <w:rFonts w:hint="cs"/>
          <w:rtl/>
        </w:rPr>
        <w:t>. כאמור, אין מחלוקת כי בניית בתי העסק הבלתי חוקיים, מושא העתירה, נעשו בניגוד לדין. בנוסף, ובמיוחד לאור העובדה כי בניית בתי העסק נעשתה בצמוד ממש לכביש</w:t>
      </w:r>
      <w:r w:rsidR="00E616FB">
        <w:rPr>
          <w:rFonts w:hint="cs"/>
          <w:rtl/>
        </w:rPr>
        <w:t xml:space="preserve"> הגישה לישוב גבעון החדשה</w:t>
      </w:r>
      <w:r>
        <w:rPr>
          <w:rFonts w:hint="cs"/>
          <w:rtl/>
        </w:rPr>
        <w:t xml:space="preserve">, צריך הטיפול בו לעמוד בראש סדרי העדיפויות של המשיבים, וממילא נראה כי קיימת עילת התערבות לבית המשפט הנכבד ועל כן </w:t>
      </w:r>
      <w:r w:rsidRPr="00202A80">
        <w:rPr>
          <w:rFonts w:hint="cs"/>
          <w:b/>
          <w:bCs/>
          <w:rtl/>
        </w:rPr>
        <w:t>יש לקבוע כי לעתירה סיכויים טובים באופן שיש בו בכדי לתמוך בהוצאת צו הביניים וצו ארעי</w:t>
      </w:r>
      <w:r>
        <w:rPr>
          <w:rFonts w:hint="cs"/>
          <w:rtl/>
        </w:rPr>
        <w:t>.</w:t>
      </w:r>
    </w:p>
    <w:p w:rsidR="001241EA" w:rsidRDefault="001241EA" w:rsidP="001241EA">
      <w:pPr>
        <w:pStyle w:val="a7"/>
        <w:spacing w:line="300" w:lineRule="atLeast"/>
        <w:rPr>
          <w:rtl/>
        </w:rPr>
      </w:pPr>
    </w:p>
    <w:p w:rsidR="001241EA" w:rsidRDefault="001241EA" w:rsidP="001241EA">
      <w:pPr>
        <w:numPr>
          <w:ilvl w:val="0"/>
          <w:numId w:val="3"/>
        </w:numPr>
        <w:suppressAutoHyphens/>
        <w:spacing w:after="200" w:line="300" w:lineRule="atLeast"/>
        <w:jc w:val="both"/>
      </w:pPr>
      <w:r w:rsidRPr="00E033A8">
        <w:rPr>
          <w:rFonts w:hint="cs"/>
          <w:rtl/>
        </w:rPr>
        <w:t>העותרת תפנה את בית המשפט הנכבד להחלטות בית המשפט הנכבד דנן בהן ניתנו צווי ארעי ו/או ביניים כנגד מועצות מקומיות</w:t>
      </w:r>
      <w:r>
        <w:rPr>
          <w:rFonts w:hint="cs"/>
          <w:rtl/>
        </w:rPr>
        <w:t xml:space="preserve"> ו/או כנגד מחזיקים עלומים</w:t>
      </w:r>
      <w:r w:rsidRPr="00E033A8">
        <w:rPr>
          <w:rFonts w:hint="cs"/>
          <w:rtl/>
        </w:rPr>
        <w:t xml:space="preserve"> שימנעו, בין היתר, מהמשך בניה ואכלוס מבנים שנבנו באופן בלתי חוקי, על אף  </w:t>
      </w:r>
      <w:r>
        <w:rPr>
          <w:rFonts w:hint="cs"/>
          <w:rtl/>
        </w:rPr>
        <w:t>שלא הוכח</w:t>
      </w:r>
      <w:r w:rsidRPr="00E033A8">
        <w:rPr>
          <w:rFonts w:hint="cs"/>
          <w:rtl/>
        </w:rPr>
        <w:t xml:space="preserve"> שמועצות אלו בנו בעצמן באופן אקטיבי ממש. ראו: החלטת בית המשפט הנכבד מיום 16.11.2015 במסגרת בג"ץ</w:t>
      </w:r>
      <w:r w:rsidRPr="002317A9">
        <w:rPr>
          <w:rFonts w:hint="cs"/>
          <w:b/>
          <w:bCs/>
          <w:rtl/>
        </w:rPr>
        <w:t xml:space="preserve"> </w:t>
      </w:r>
      <w:r w:rsidRPr="00E033A8">
        <w:rPr>
          <w:rFonts w:hint="cs"/>
          <w:rtl/>
        </w:rPr>
        <w:t>5480/15</w:t>
      </w:r>
      <w:r w:rsidRPr="002317A9">
        <w:rPr>
          <w:rFonts w:hint="cs"/>
          <w:b/>
          <w:bCs/>
          <w:rtl/>
        </w:rPr>
        <w:t xml:space="preserve"> מרים אסמעיל עלי מוסא ואח' נ' שר הביטחון ואח' </w:t>
      </w:r>
      <w:r w:rsidRPr="00E033A8">
        <w:rPr>
          <w:rFonts w:hint="cs"/>
          <w:rtl/>
        </w:rPr>
        <w:t xml:space="preserve">(נבו); החלטת בית המשפט הנכבד מיום 3.9.2009 במסגרת בג"ץ 6505/09 </w:t>
      </w:r>
      <w:r w:rsidRPr="002317A9">
        <w:rPr>
          <w:rFonts w:hint="cs"/>
          <w:b/>
          <w:bCs/>
          <w:rtl/>
        </w:rPr>
        <w:t xml:space="preserve">עלי דאוד אמעיל ברכאת ואח' נ' שר הביטחון ואח' </w:t>
      </w:r>
      <w:r w:rsidRPr="00E033A8">
        <w:rPr>
          <w:rFonts w:hint="cs"/>
          <w:rtl/>
        </w:rPr>
        <w:t xml:space="preserve">(נבו); החלטת בית המשפט הנכבד מיום 13.7.2009 במסגרת בג"ץ 5383/09 </w:t>
      </w:r>
      <w:r w:rsidRPr="002317A9">
        <w:rPr>
          <w:rFonts w:hint="cs"/>
          <w:b/>
          <w:bCs/>
          <w:rtl/>
        </w:rPr>
        <w:t>אחמד שמעה וגיה עבד אלכרים ואח' נ' שר הביטחון ואח' (נבו)</w:t>
      </w:r>
      <w:r w:rsidRPr="00EA23AB">
        <w:rPr>
          <w:rtl/>
        </w:rPr>
        <w:t xml:space="preserve">; </w:t>
      </w:r>
      <w:r w:rsidRPr="00EA23AB">
        <w:rPr>
          <w:rFonts w:hint="eastAsia"/>
          <w:rtl/>
        </w:rPr>
        <w:t>החלטת</w:t>
      </w:r>
      <w:r w:rsidRPr="00EA23AB">
        <w:rPr>
          <w:rtl/>
        </w:rPr>
        <w:t xml:space="preserve"> בית המשפט הנכבד מיום 22.3.2009 במסגרת </w:t>
      </w:r>
      <w:r w:rsidRPr="00EA23AB">
        <w:rPr>
          <w:rFonts w:hint="eastAsia"/>
          <w:rtl/>
        </w:rPr>
        <w:t>בג</w:t>
      </w:r>
      <w:r w:rsidRPr="00EA23AB">
        <w:rPr>
          <w:rtl/>
        </w:rPr>
        <w:t xml:space="preserve">"ץ 2295/09 </w:t>
      </w:r>
      <w:r w:rsidRPr="002317A9">
        <w:rPr>
          <w:rFonts w:hint="cs"/>
          <w:b/>
          <w:bCs/>
          <w:rtl/>
        </w:rPr>
        <w:t xml:space="preserve">מוצטפא אחמד מוחמד חליל פדיה </w:t>
      </w:r>
      <w:r w:rsidRPr="002317A9">
        <w:rPr>
          <w:b/>
          <w:bCs/>
          <w:rtl/>
        </w:rPr>
        <w:t>–</w:t>
      </w:r>
      <w:r w:rsidRPr="002317A9">
        <w:rPr>
          <w:rFonts w:hint="cs"/>
          <w:b/>
          <w:bCs/>
          <w:rtl/>
        </w:rPr>
        <w:t xml:space="preserve"> ראש מועצת הכפר אסוויה ואח' נ' שר הביטחון ואח'</w:t>
      </w:r>
      <w:r w:rsidRPr="00EA23AB">
        <w:rPr>
          <w:rtl/>
        </w:rPr>
        <w:t xml:space="preserve"> (נבו);  </w:t>
      </w:r>
      <w:r>
        <w:rPr>
          <w:rFonts w:hint="cs"/>
          <w:rtl/>
        </w:rPr>
        <w:t xml:space="preserve">בג"ץ 6821/09 </w:t>
      </w:r>
      <w:r w:rsidRPr="002317A9">
        <w:rPr>
          <w:rFonts w:hint="eastAsia"/>
          <w:b/>
          <w:bCs/>
          <w:rtl/>
        </w:rPr>
        <w:t>ש</w:t>
      </w:r>
      <w:r w:rsidRPr="002317A9">
        <w:rPr>
          <w:b/>
          <w:bCs/>
          <w:rtl/>
        </w:rPr>
        <w:t>.ע.ל. – שלום עכשיו לישראל, מפעלים חינוכיים ואח' נ' שר הביטחון ואח'</w:t>
      </w:r>
      <w:r>
        <w:rPr>
          <w:rFonts w:hint="cs"/>
          <w:rtl/>
        </w:rPr>
        <w:t xml:space="preserve"> (נבו)</w:t>
      </w:r>
      <w:r w:rsidRPr="00EA23AB">
        <w:rPr>
          <w:rtl/>
        </w:rPr>
        <w:t xml:space="preserve">. </w:t>
      </w:r>
    </w:p>
    <w:p w:rsidR="001241EA" w:rsidRDefault="001241EA" w:rsidP="001241EA">
      <w:pPr>
        <w:spacing w:line="300" w:lineRule="atLeast"/>
        <w:ind w:left="716"/>
        <w:jc w:val="both"/>
        <w:rPr>
          <w:rtl/>
        </w:rPr>
      </w:pPr>
    </w:p>
    <w:p w:rsidR="001241EA" w:rsidRPr="00D9620E" w:rsidRDefault="001241EA" w:rsidP="00E616FB">
      <w:pPr>
        <w:numPr>
          <w:ilvl w:val="0"/>
          <w:numId w:val="3"/>
        </w:numPr>
        <w:spacing w:line="300" w:lineRule="atLeast"/>
        <w:jc w:val="both"/>
      </w:pPr>
      <w:r w:rsidRPr="00F30056">
        <w:rPr>
          <w:rFonts w:hint="cs"/>
          <w:rtl/>
        </w:rPr>
        <w:t xml:space="preserve">העותרת </w:t>
      </w:r>
      <w:r>
        <w:rPr>
          <w:rFonts w:hint="cs"/>
          <w:rtl/>
        </w:rPr>
        <w:t>ת</w:t>
      </w:r>
      <w:r w:rsidRPr="00F30056">
        <w:rPr>
          <w:rFonts w:hint="cs"/>
          <w:rtl/>
        </w:rPr>
        <w:t>טען</w:t>
      </w:r>
      <w:r>
        <w:rPr>
          <w:rFonts w:hint="cs"/>
          <w:rtl/>
        </w:rPr>
        <w:t>,</w:t>
      </w:r>
      <w:r w:rsidRPr="00F30056">
        <w:rPr>
          <w:rFonts w:hint="cs"/>
          <w:rtl/>
        </w:rPr>
        <w:t xml:space="preserve"> כי אף בענייננו אנו</w:t>
      </w:r>
      <w:r>
        <w:rPr>
          <w:rFonts w:hint="cs"/>
          <w:rtl/>
        </w:rPr>
        <w:t>,</w:t>
      </w:r>
      <w:r w:rsidRPr="00F30056">
        <w:rPr>
          <w:rFonts w:hint="cs"/>
          <w:rtl/>
        </w:rPr>
        <w:t xml:space="preserve"> בו ממשי</w:t>
      </w:r>
      <w:r>
        <w:rPr>
          <w:rFonts w:hint="cs"/>
          <w:rtl/>
        </w:rPr>
        <w:t xml:space="preserve">כים </w:t>
      </w:r>
      <w:r w:rsidRPr="00F30056">
        <w:rPr>
          <w:rFonts w:hint="cs"/>
          <w:rtl/>
        </w:rPr>
        <w:t xml:space="preserve">בימים אלו </w:t>
      </w:r>
      <w:r w:rsidRPr="00D9620E">
        <w:rPr>
          <w:rFonts w:hint="cs"/>
          <w:rtl/>
        </w:rPr>
        <w:t xml:space="preserve">ממש </w:t>
      </w:r>
      <w:r w:rsidRPr="00F30056">
        <w:rPr>
          <w:rFonts w:hint="cs"/>
          <w:rtl/>
        </w:rPr>
        <w:t>המשיב</w:t>
      </w:r>
      <w:r>
        <w:rPr>
          <w:rFonts w:hint="cs"/>
          <w:rtl/>
        </w:rPr>
        <w:t>ים</w:t>
      </w:r>
      <w:r w:rsidRPr="00F30056">
        <w:rPr>
          <w:rFonts w:hint="cs"/>
          <w:rtl/>
        </w:rPr>
        <w:t xml:space="preserve"> 4</w:t>
      </w:r>
      <w:r>
        <w:rPr>
          <w:rFonts w:hint="cs"/>
          <w:rtl/>
        </w:rPr>
        <w:t>-</w:t>
      </w:r>
      <w:r w:rsidR="00E616FB">
        <w:rPr>
          <w:rFonts w:hint="cs"/>
          <w:rtl/>
        </w:rPr>
        <w:t>5</w:t>
      </w:r>
      <w:r>
        <w:rPr>
          <w:rFonts w:hint="cs"/>
          <w:rtl/>
        </w:rPr>
        <w:t xml:space="preserve"> ו/או מי מטעמם</w:t>
      </w:r>
      <w:r w:rsidRPr="00F30056">
        <w:rPr>
          <w:rFonts w:hint="cs"/>
          <w:rtl/>
        </w:rPr>
        <w:t xml:space="preserve"> </w:t>
      </w:r>
      <w:r>
        <w:rPr>
          <w:rFonts w:hint="cs"/>
          <w:rtl/>
        </w:rPr>
        <w:t>להחזיק</w:t>
      </w:r>
      <w:r w:rsidRPr="00F30056">
        <w:rPr>
          <w:rFonts w:hint="cs"/>
          <w:rtl/>
        </w:rPr>
        <w:t xml:space="preserve"> </w:t>
      </w:r>
      <w:r>
        <w:rPr>
          <w:rFonts w:hint="cs"/>
          <w:rtl/>
        </w:rPr>
        <w:t>ולהפעיל את בתי העסק</w:t>
      </w:r>
      <w:r w:rsidRPr="00D9620E">
        <w:rPr>
          <w:rFonts w:hint="cs"/>
          <w:rtl/>
        </w:rPr>
        <w:t xml:space="preserve"> הבלתי חוקי</w:t>
      </w:r>
      <w:r>
        <w:rPr>
          <w:rFonts w:hint="cs"/>
          <w:rtl/>
        </w:rPr>
        <w:t>ים</w:t>
      </w:r>
      <w:r w:rsidRPr="00D9620E">
        <w:rPr>
          <w:rFonts w:hint="cs"/>
          <w:rtl/>
        </w:rPr>
        <w:t xml:space="preserve">, </w:t>
      </w:r>
      <w:r w:rsidRPr="00D9620E">
        <w:rPr>
          <w:rFonts w:ascii="Arial" w:hAnsi="Arial" w:hint="cs"/>
          <w:rtl/>
        </w:rPr>
        <w:t xml:space="preserve">תוך פגיעה קשה בביטחון ובבטיחות חיי הנוסעים בכביש </w:t>
      </w:r>
      <w:r w:rsidRPr="00D9620E">
        <w:rPr>
          <w:rFonts w:hint="cs"/>
          <w:rtl/>
        </w:rPr>
        <w:t xml:space="preserve">הסמוך, אשר הינו כביש </w:t>
      </w:r>
      <w:r w:rsidR="00E616FB">
        <w:rPr>
          <w:rFonts w:hint="cs"/>
          <w:rtl/>
        </w:rPr>
        <w:t xml:space="preserve">המשמש את התושבים </w:t>
      </w:r>
      <w:r w:rsidRPr="00D9620E">
        <w:rPr>
          <w:rFonts w:hint="cs"/>
          <w:rtl/>
        </w:rPr>
        <w:t>במרחב</w:t>
      </w:r>
      <w:r>
        <w:rPr>
          <w:rFonts w:hint="cs"/>
          <w:rtl/>
        </w:rPr>
        <w:t xml:space="preserve">, </w:t>
      </w:r>
      <w:r w:rsidRPr="00D9620E">
        <w:rPr>
          <w:rFonts w:hint="cs"/>
          <w:rtl/>
        </w:rPr>
        <w:t>מקים עילה למתן צו ארעי וצו ביניים.</w:t>
      </w:r>
    </w:p>
    <w:p w:rsidR="001241EA" w:rsidRPr="00D9620E" w:rsidRDefault="001241EA" w:rsidP="001241EA">
      <w:pPr>
        <w:spacing w:line="300" w:lineRule="atLeast"/>
        <w:ind w:left="716"/>
        <w:jc w:val="both"/>
      </w:pPr>
    </w:p>
    <w:p w:rsidR="001241EA" w:rsidRDefault="001241EA" w:rsidP="001241EA">
      <w:pPr>
        <w:numPr>
          <w:ilvl w:val="0"/>
          <w:numId w:val="3"/>
        </w:numPr>
        <w:spacing w:line="300" w:lineRule="atLeast"/>
        <w:jc w:val="both"/>
        <w:rPr>
          <w:b/>
          <w:bCs/>
          <w:rtl/>
        </w:rPr>
      </w:pPr>
      <w:r w:rsidRPr="00D9620E">
        <w:rPr>
          <w:rFonts w:hint="cs"/>
          <w:rtl/>
        </w:rPr>
        <w:t>מדיניות אי המעש בה נוקטים המשיבים מהווה מחדל אשר אינו ניתן להסבר ענייני וככל הנראה הינה נובעת משיקולים זרים אשר אינם עולים בקנה אחד עם תפקידם לפעול לאכיפת</w:t>
      </w:r>
      <w:r w:rsidRPr="00D9620E">
        <w:rPr>
          <w:rFonts w:ascii="Arial" w:hAnsi="Arial" w:hint="cs"/>
          <w:rtl/>
        </w:rPr>
        <w:t xml:space="preserve"> החוק</w:t>
      </w:r>
      <w:r>
        <w:rPr>
          <w:rFonts w:ascii="Arial" w:hAnsi="Arial" w:hint="cs"/>
          <w:rtl/>
        </w:rPr>
        <w:t xml:space="preserve"> באזור, ואל לו לבית המשפט הנכבד ליתן ידו לכך.</w:t>
      </w:r>
    </w:p>
    <w:p w:rsidR="001241EA" w:rsidRPr="008A7B00" w:rsidRDefault="001241EA" w:rsidP="001241EA">
      <w:pPr>
        <w:spacing w:line="300" w:lineRule="atLeast"/>
        <w:jc w:val="both"/>
        <w:rPr>
          <w:rtl/>
        </w:rPr>
      </w:pPr>
    </w:p>
    <w:p w:rsidR="001241EA" w:rsidRDefault="001241EA" w:rsidP="001241EA">
      <w:pPr>
        <w:pStyle w:val="a7"/>
        <w:numPr>
          <w:ilvl w:val="0"/>
          <w:numId w:val="7"/>
        </w:numPr>
        <w:tabs>
          <w:tab w:val="clear" w:pos="1080"/>
          <w:tab w:val="num" w:pos="651"/>
        </w:tabs>
        <w:spacing w:line="300" w:lineRule="atLeast"/>
        <w:ind w:hanging="854"/>
        <w:jc w:val="both"/>
        <w:rPr>
          <w:b/>
          <w:bCs/>
          <w:sz w:val="28"/>
          <w:szCs w:val="28"/>
        </w:rPr>
      </w:pPr>
      <w:r w:rsidRPr="00F11A26">
        <w:rPr>
          <w:rFonts w:hint="cs"/>
          <w:b/>
          <w:bCs/>
          <w:sz w:val="28"/>
          <w:szCs w:val="28"/>
          <w:rtl/>
        </w:rPr>
        <w:t>הסעד המבוקש:</w:t>
      </w:r>
    </w:p>
    <w:p w:rsidR="001241EA" w:rsidRPr="00F11A26" w:rsidRDefault="001241EA" w:rsidP="001241EA">
      <w:pPr>
        <w:pStyle w:val="a7"/>
        <w:spacing w:line="300" w:lineRule="atLeast"/>
        <w:ind w:left="1080"/>
        <w:jc w:val="both"/>
        <w:rPr>
          <w:b/>
          <w:bCs/>
          <w:sz w:val="28"/>
          <w:szCs w:val="28"/>
        </w:rPr>
      </w:pPr>
    </w:p>
    <w:p w:rsidR="001241EA" w:rsidRDefault="001241EA" w:rsidP="001241EA">
      <w:pPr>
        <w:pStyle w:val="a7"/>
        <w:numPr>
          <w:ilvl w:val="0"/>
          <w:numId w:val="4"/>
        </w:numPr>
        <w:spacing w:line="300" w:lineRule="atLeast"/>
        <w:jc w:val="both"/>
      </w:pPr>
      <w:r>
        <w:rPr>
          <w:rFonts w:hint="cs"/>
          <w:rtl/>
        </w:rPr>
        <w:t>אשר על כן, יתבקש בית המשפט הנכבד ליתן צו ארעי כמבוקש ולאחר קבלת תגובות המשיבים ליתן צו ביניים.</w:t>
      </w:r>
    </w:p>
    <w:p w:rsidR="001241EA" w:rsidRDefault="001241EA" w:rsidP="001241EA">
      <w:pPr>
        <w:pStyle w:val="a7"/>
        <w:spacing w:line="300" w:lineRule="atLeast"/>
        <w:ind w:left="716"/>
        <w:jc w:val="both"/>
        <w:rPr>
          <w:rtl/>
        </w:rPr>
      </w:pPr>
    </w:p>
    <w:p w:rsidR="001241EA" w:rsidRDefault="001241EA" w:rsidP="001241EA">
      <w:pPr>
        <w:numPr>
          <w:ilvl w:val="0"/>
          <w:numId w:val="4"/>
        </w:numPr>
        <w:spacing w:line="300" w:lineRule="atLeast"/>
        <w:jc w:val="both"/>
      </w:pPr>
      <w:r>
        <w:rPr>
          <w:rFonts w:hint="cs"/>
          <w:rtl/>
        </w:rPr>
        <w:t>כן יתבקש בית המשפט הנכבד להוציא צו על תנאי כנגד המשיבים כולם כמבוקש ברישא של העתירה, ולאחר קבלת תגובת המשיבים ושמיעת טיעון בע"פ, להפכו למוחלט.</w:t>
      </w:r>
    </w:p>
    <w:p w:rsidR="001241EA" w:rsidRDefault="001241EA" w:rsidP="001241EA">
      <w:pPr>
        <w:spacing w:line="300" w:lineRule="atLeast"/>
        <w:jc w:val="both"/>
        <w:rPr>
          <w:rtl/>
        </w:rPr>
      </w:pPr>
    </w:p>
    <w:p w:rsidR="001241EA" w:rsidRDefault="001241EA" w:rsidP="001241EA">
      <w:pPr>
        <w:numPr>
          <w:ilvl w:val="0"/>
          <w:numId w:val="4"/>
        </w:numPr>
        <w:spacing w:line="300" w:lineRule="atLeast"/>
        <w:jc w:val="both"/>
      </w:pPr>
      <w:r>
        <w:rPr>
          <w:rFonts w:hint="cs"/>
          <w:rtl/>
        </w:rPr>
        <w:t xml:space="preserve">עוד יתבקש בית המשפט הנכבד לחייב את המשיבים בהוצאות העותרים ובשכר טרחת עו"ד בתוספת מע"מ כדין.  </w:t>
      </w:r>
    </w:p>
    <w:p w:rsidR="001241EA" w:rsidRDefault="001241EA" w:rsidP="001241EA">
      <w:pPr>
        <w:spacing w:line="300" w:lineRule="atLeast"/>
        <w:jc w:val="both"/>
      </w:pPr>
    </w:p>
    <w:p w:rsidR="001241EA" w:rsidRDefault="001241EA" w:rsidP="001241EA">
      <w:pPr>
        <w:numPr>
          <w:ilvl w:val="0"/>
          <w:numId w:val="4"/>
        </w:numPr>
        <w:spacing w:line="300" w:lineRule="atLeast"/>
        <w:jc w:val="both"/>
      </w:pPr>
      <w:r>
        <w:rPr>
          <w:rFonts w:hint="cs"/>
          <w:rtl/>
        </w:rPr>
        <w:t>עתירה זו נתמכת בתצהירו של מר ישי חמו, נציג העותרת.</w:t>
      </w:r>
    </w:p>
    <w:p w:rsidR="001241EA" w:rsidRDefault="001241EA" w:rsidP="001241EA">
      <w:pPr>
        <w:spacing w:line="300" w:lineRule="atLeast"/>
        <w:ind w:left="716"/>
        <w:jc w:val="both"/>
        <w:rPr>
          <w:rtl/>
        </w:rPr>
      </w:pPr>
    </w:p>
    <w:p w:rsidR="001241EA" w:rsidRDefault="001241EA" w:rsidP="001241EA">
      <w:pPr>
        <w:spacing w:line="300" w:lineRule="atLeast"/>
        <w:ind w:left="3600" w:firstLine="720"/>
        <w:jc w:val="both"/>
        <w:rPr>
          <w:rtl/>
        </w:rPr>
      </w:pPr>
    </w:p>
    <w:p w:rsidR="001241EA" w:rsidRDefault="001241EA" w:rsidP="001241EA">
      <w:pPr>
        <w:spacing w:line="300" w:lineRule="atLeast"/>
        <w:ind w:left="3600" w:firstLine="720"/>
        <w:jc w:val="both"/>
        <w:rPr>
          <w:rtl/>
        </w:rPr>
      </w:pPr>
    </w:p>
    <w:p w:rsidR="001241EA" w:rsidRDefault="001241EA" w:rsidP="001241EA">
      <w:pPr>
        <w:spacing w:line="300" w:lineRule="atLeast"/>
        <w:ind w:left="3600" w:firstLine="720"/>
        <w:jc w:val="both"/>
        <w:rPr>
          <w:b/>
          <w:bCs/>
          <w:rtl/>
        </w:rPr>
      </w:pPr>
      <w:r>
        <w:rPr>
          <w:rFonts w:hint="cs"/>
          <w:b/>
          <w:bCs/>
          <w:rtl/>
        </w:rPr>
        <w:t>___________</w:t>
      </w:r>
      <w:r>
        <w:rPr>
          <w:rFonts w:hint="cs"/>
          <w:b/>
          <w:bCs/>
          <w:rtl/>
        </w:rPr>
        <w:tab/>
        <w:t xml:space="preserve">      ____________</w:t>
      </w:r>
    </w:p>
    <w:p w:rsidR="001241EA" w:rsidRDefault="001241EA" w:rsidP="001241EA">
      <w:pPr>
        <w:spacing w:line="300" w:lineRule="atLeast"/>
        <w:ind w:left="3600" w:firstLine="720"/>
        <w:jc w:val="both"/>
        <w:rPr>
          <w:b/>
          <w:bCs/>
          <w:rtl/>
        </w:rPr>
      </w:pPr>
      <w:r>
        <w:rPr>
          <w:rFonts w:hint="cs"/>
          <w:b/>
          <w:bCs/>
          <w:rtl/>
        </w:rPr>
        <w:t>אבי סגל, עו"ד</w:t>
      </w:r>
      <w:r>
        <w:rPr>
          <w:rFonts w:hint="cs"/>
          <w:b/>
          <w:bCs/>
          <w:rtl/>
        </w:rPr>
        <w:tab/>
        <w:t xml:space="preserve">      יעל סינמון, עו"ד</w:t>
      </w:r>
    </w:p>
    <w:p w:rsidR="001241EA" w:rsidRPr="00F41EFA" w:rsidRDefault="001241EA" w:rsidP="001241EA">
      <w:pPr>
        <w:spacing w:line="300" w:lineRule="atLeast"/>
        <w:ind w:left="26"/>
        <w:jc w:val="both"/>
        <w:rPr>
          <w:b/>
          <w:bCs/>
          <w:rtl/>
        </w:rPr>
      </w:pPr>
      <w:r>
        <w:rPr>
          <w:rFonts w:hint="cs"/>
          <w:b/>
          <w:bCs/>
          <w:rtl/>
        </w:rPr>
        <w:tab/>
      </w:r>
      <w:r>
        <w:rPr>
          <w:rFonts w:hint="cs"/>
          <w:b/>
          <w:bCs/>
          <w:rtl/>
        </w:rPr>
        <w:tab/>
      </w:r>
      <w:r>
        <w:rPr>
          <w:rFonts w:hint="cs"/>
          <w:b/>
          <w:bCs/>
          <w:rtl/>
        </w:rPr>
        <w:tab/>
        <w:t xml:space="preserve">                 </w:t>
      </w:r>
      <w:r>
        <w:rPr>
          <w:rFonts w:hint="cs"/>
          <w:b/>
          <w:bCs/>
          <w:rtl/>
        </w:rPr>
        <w:tab/>
      </w:r>
      <w:r>
        <w:rPr>
          <w:rFonts w:hint="cs"/>
          <w:b/>
          <w:bCs/>
          <w:rtl/>
        </w:rPr>
        <w:tab/>
      </w:r>
      <w:r>
        <w:rPr>
          <w:rFonts w:hint="cs"/>
          <w:b/>
          <w:bCs/>
          <w:rtl/>
        </w:rPr>
        <w:tab/>
        <w:t xml:space="preserve">     ב"כ העותרת</w:t>
      </w:r>
    </w:p>
    <w:p w:rsidR="001241EA" w:rsidRPr="00CC2B9B" w:rsidRDefault="001241EA" w:rsidP="001241EA">
      <w:pPr>
        <w:spacing w:line="300" w:lineRule="atLeast"/>
        <w:ind w:left="716"/>
        <w:jc w:val="both"/>
        <w:rPr>
          <w:rtl/>
        </w:rPr>
      </w:pPr>
    </w:p>
    <w:p w:rsidR="001241EA" w:rsidRDefault="001241EA" w:rsidP="001241EA">
      <w:pPr>
        <w:spacing w:line="280" w:lineRule="atLeast"/>
        <w:jc w:val="both"/>
        <w:rPr>
          <w:rtl/>
        </w:rPr>
      </w:pPr>
    </w:p>
    <w:p w:rsidR="001241EA" w:rsidRDefault="001241EA" w:rsidP="001241EA">
      <w:pPr>
        <w:pStyle w:val="a3"/>
        <w:tabs>
          <w:tab w:val="clear" w:pos="4153"/>
          <w:tab w:val="clear" w:pos="8306"/>
        </w:tabs>
        <w:spacing w:line="280" w:lineRule="atLeast"/>
        <w:jc w:val="both"/>
        <w:rPr>
          <w:rtl/>
        </w:rPr>
      </w:pPr>
    </w:p>
    <w:p w:rsidR="001241EA" w:rsidRDefault="001241EA"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897E04" w:rsidRDefault="00897E04" w:rsidP="001241EA">
      <w:pPr>
        <w:pStyle w:val="a3"/>
        <w:tabs>
          <w:tab w:val="clear" w:pos="4153"/>
          <w:tab w:val="clear" w:pos="8306"/>
        </w:tabs>
        <w:spacing w:line="280" w:lineRule="atLeast"/>
        <w:jc w:val="both"/>
        <w:rPr>
          <w:rtl/>
        </w:rPr>
      </w:pPr>
    </w:p>
    <w:p w:rsidR="001241EA" w:rsidRDefault="001241EA" w:rsidP="001241EA">
      <w:pPr>
        <w:pStyle w:val="a3"/>
        <w:tabs>
          <w:tab w:val="clear" w:pos="4153"/>
          <w:tab w:val="clear" w:pos="8306"/>
        </w:tabs>
        <w:spacing w:line="280" w:lineRule="atLeast"/>
        <w:jc w:val="both"/>
        <w:rPr>
          <w:rtl/>
        </w:rPr>
      </w:pPr>
    </w:p>
    <w:p w:rsidR="001241EA" w:rsidRPr="00AF54F7" w:rsidRDefault="001241EA" w:rsidP="001241EA">
      <w:pPr>
        <w:ind w:left="2880" w:firstLine="720"/>
        <w:jc w:val="both"/>
        <w:rPr>
          <w:b/>
          <w:bCs/>
          <w:sz w:val="28"/>
          <w:szCs w:val="28"/>
          <w:u w:val="single"/>
          <w:rtl/>
        </w:rPr>
      </w:pPr>
      <w:r w:rsidRPr="00AF54F7">
        <w:rPr>
          <w:rFonts w:hint="cs"/>
          <w:b/>
          <w:bCs/>
          <w:sz w:val="28"/>
          <w:szCs w:val="28"/>
          <w:u w:val="single"/>
          <w:rtl/>
        </w:rPr>
        <w:t xml:space="preserve">ת צ ה י ר </w:t>
      </w:r>
    </w:p>
    <w:p w:rsidR="001241EA" w:rsidRPr="00AF54F7" w:rsidRDefault="001241EA" w:rsidP="001241EA">
      <w:pPr>
        <w:jc w:val="both"/>
        <w:rPr>
          <w:b/>
          <w:bCs/>
          <w:sz w:val="28"/>
          <w:szCs w:val="28"/>
          <w:u w:val="single"/>
          <w:rtl/>
        </w:rPr>
      </w:pPr>
    </w:p>
    <w:p w:rsidR="001241EA" w:rsidRPr="00AF54F7" w:rsidRDefault="001241EA" w:rsidP="001241EA">
      <w:pPr>
        <w:jc w:val="both"/>
        <w:rPr>
          <w:b/>
          <w:bCs/>
          <w:rtl/>
        </w:rPr>
      </w:pPr>
    </w:p>
    <w:p w:rsidR="001241EA" w:rsidRPr="00AF54F7" w:rsidRDefault="001241EA" w:rsidP="001241EA">
      <w:pPr>
        <w:jc w:val="both"/>
        <w:rPr>
          <w:b/>
          <w:bCs/>
        </w:rPr>
      </w:pPr>
      <w:r w:rsidRPr="00AF54F7">
        <w:rPr>
          <w:rFonts w:hint="cs"/>
          <w:b/>
          <w:bCs/>
          <w:rtl/>
        </w:rPr>
        <w:t xml:space="preserve">אני הח"מ, </w:t>
      </w:r>
      <w:r>
        <w:rPr>
          <w:rFonts w:hint="cs"/>
          <w:b/>
          <w:bCs/>
          <w:rtl/>
        </w:rPr>
        <w:t>ישי חמו</w:t>
      </w:r>
      <w:r w:rsidRPr="00AF54F7">
        <w:rPr>
          <w:b/>
          <w:bCs/>
          <w:rtl/>
        </w:rPr>
        <w:t xml:space="preserve">, </w:t>
      </w:r>
      <w:r w:rsidRPr="00AF54F7">
        <w:rPr>
          <w:rFonts w:hint="cs"/>
          <w:b/>
          <w:bCs/>
          <w:rtl/>
        </w:rPr>
        <w:t xml:space="preserve">בעל </w:t>
      </w:r>
      <w:r w:rsidRPr="00AF54F7">
        <w:rPr>
          <w:b/>
          <w:bCs/>
          <w:rtl/>
        </w:rPr>
        <w:t>ת.ז.</w:t>
      </w:r>
      <w:r w:rsidRPr="00AF54F7">
        <w:rPr>
          <w:rFonts w:hint="cs"/>
          <w:b/>
          <w:bCs/>
          <w:rtl/>
        </w:rPr>
        <w:t xml:space="preserve"> מס' </w:t>
      </w:r>
      <w:r>
        <w:rPr>
          <w:rFonts w:hint="cs"/>
          <w:b/>
          <w:bCs/>
          <w:rtl/>
        </w:rPr>
        <w:t xml:space="preserve">200516367, </w:t>
      </w:r>
      <w:r w:rsidRPr="00AF54F7">
        <w:rPr>
          <w:rFonts w:hint="cs"/>
          <w:b/>
          <w:bCs/>
          <w:rtl/>
        </w:rPr>
        <w:t>לאחר שהוזהרתי כי עליי לומר את האמת כולה ואת האמת בלבד, וכי אם לא אעשה כן אהיה צפוי לעונשים הקבועים בחוק, מצהיר בזה כדלקמן</w:t>
      </w:r>
      <w:r w:rsidRPr="00AF54F7">
        <w:rPr>
          <w:b/>
          <w:bCs/>
        </w:rPr>
        <w:t xml:space="preserve">: </w:t>
      </w:r>
    </w:p>
    <w:p w:rsidR="001241EA" w:rsidRPr="00AF54F7" w:rsidRDefault="001241EA" w:rsidP="001241EA">
      <w:pPr>
        <w:jc w:val="both"/>
        <w:rPr>
          <w:b/>
          <w:bCs/>
        </w:rPr>
      </w:pPr>
    </w:p>
    <w:p w:rsidR="001241EA" w:rsidRPr="00AF54F7" w:rsidRDefault="001241EA" w:rsidP="001241EA">
      <w:pPr>
        <w:jc w:val="both"/>
        <w:rPr>
          <w:b/>
          <w:bCs/>
          <w:rtl/>
        </w:rPr>
      </w:pPr>
    </w:p>
    <w:p w:rsidR="001241EA" w:rsidRPr="00AF54F7" w:rsidRDefault="001241EA" w:rsidP="001241EA">
      <w:pPr>
        <w:numPr>
          <w:ilvl w:val="0"/>
          <w:numId w:val="8"/>
        </w:numPr>
        <w:jc w:val="both"/>
      </w:pPr>
      <w:r w:rsidRPr="00AF54F7">
        <w:rPr>
          <w:rFonts w:hint="cs"/>
          <w:rtl/>
        </w:rPr>
        <w:t xml:space="preserve">הנני נציג העותרת. </w:t>
      </w:r>
    </w:p>
    <w:p w:rsidR="001241EA" w:rsidRPr="00AF54F7" w:rsidRDefault="001241EA" w:rsidP="001241EA">
      <w:pPr>
        <w:ind w:left="360"/>
        <w:jc w:val="both"/>
        <w:rPr>
          <w:rtl/>
        </w:rPr>
      </w:pPr>
    </w:p>
    <w:p w:rsidR="001241EA" w:rsidRPr="00AF54F7" w:rsidRDefault="001241EA" w:rsidP="001241EA">
      <w:pPr>
        <w:numPr>
          <w:ilvl w:val="0"/>
          <w:numId w:val="8"/>
        </w:numPr>
        <w:ind w:right="0"/>
        <w:jc w:val="both"/>
      </w:pPr>
      <w:r w:rsidRPr="00AF54F7">
        <w:rPr>
          <w:rFonts w:hint="cs"/>
          <w:rtl/>
        </w:rPr>
        <w:t>תצהירי זה ניתן בתמיכה לעתי</w:t>
      </w:r>
      <w:r>
        <w:rPr>
          <w:rFonts w:hint="cs"/>
          <w:rtl/>
        </w:rPr>
        <w:t xml:space="preserve">רה למתן צו על תנאי, </w:t>
      </w:r>
      <w:r w:rsidRPr="00AF54F7">
        <w:rPr>
          <w:rFonts w:hint="cs"/>
          <w:rtl/>
        </w:rPr>
        <w:t>צו ביניים</w:t>
      </w:r>
      <w:r>
        <w:rPr>
          <w:rFonts w:hint="cs"/>
          <w:rtl/>
        </w:rPr>
        <w:t xml:space="preserve"> וצו ארעי</w:t>
      </w:r>
      <w:r w:rsidRPr="00AF54F7">
        <w:rPr>
          <w:rFonts w:hint="cs"/>
          <w:rtl/>
        </w:rPr>
        <w:t xml:space="preserve"> ולאימות האמור בה. </w:t>
      </w:r>
    </w:p>
    <w:p w:rsidR="001241EA" w:rsidRPr="00AF54F7" w:rsidRDefault="001241EA" w:rsidP="001241EA">
      <w:pPr>
        <w:jc w:val="both"/>
        <w:rPr>
          <w:rtl/>
        </w:rPr>
      </w:pPr>
    </w:p>
    <w:p w:rsidR="001241EA" w:rsidRPr="00AF54F7" w:rsidRDefault="001241EA" w:rsidP="001241EA">
      <w:pPr>
        <w:numPr>
          <w:ilvl w:val="0"/>
          <w:numId w:val="8"/>
        </w:numPr>
        <w:ind w:right="0"/>
        <w:jc w:val="both"/>
      </w:pPr>
      <w:r w:rsidRPr="00AF54F7">
        <w:rPr>
          <w:rFonts w:hint="cs"/>
          <w:rtl/>
        </w:rPr>
        <w:t xml:space="preserve">אני מצהיר כי כל הטענות העובדתיות המופיעות בעתירה הינן בידיעתי האישית. </w:t>
      </w:r>
    </w:p>
    <w:p w:rsidR="001241EA" w:rsidRPr="00AF54F7" w:rsidRDefault="001241EA" w:rsidP="001241EA">
      <w:pPr>
        <w:jc w:val="both"/>
        <w:rPr>
          <w:rtl/>
        </w:rPr>
      </w:pPr>
    </w:p>
    <w:p w:rsidR="001241EA" w:rsidRDefault="001241EA" w:rsidP="001241EA">
      <w:pPr>
        <w:numPr>
          <w:ilvl w:val="0"/>
          <w:numId w:val="8"/>
        </w:numPr>
        <w:ind w:right="0"/>
        <w:jc w:val="both"/>
      </w:pPr>
      <w:r w:rsidRPr="00AF54F7">
        <w:rPr>
          <w:rFonts w:hint="cs"/>
          <w:rtl/>
        </w:rPr>
        <w:t xml:space="preserve">אני מצהיר כי כל הטענות המשפטיות המופיעות בבקשה זו הינן לפי מיטב ידיעתי ואמונתי. המקור לידיעתי ולאמונתי הוא עפ"י עצה משפטית שקיבלתי. </w:t>
      </w:r>
    </w:p>
    <w:p w:rsidR="001241EA" w:rsidRDefault="001241EA" w:rsidP="001241EA">
      <w:pPr>
        <w:pStyle w:val="a7"/>
        <w:rPr>
          <w:rtl/>
        </w:rPr>
      </w:pPr>
    </w:p>
    <w:p w:rsidR="001241EA" w:rsidRPr="00AF54F7" w:rsidRDefault="001241EA" w:rsidP="000A0EFF">
      <w:pPr>
        <w:numPr>
          <w:ilvl w:val="0"/>
          <w:numId w:val="8"/>
        </w:numPr>
        <w:ind w:right="0"/>
        <w:jc w:val="both"/>
        <w:rPr>
          <w:rtl/>
        </w:rPr>
      </w:pPr>
      <w:r>
        <w:rPr>
          <w:rFonts w:hint="cs"/>
          <w:rtl/>
        </w:rPr>
        <w:t xml:space="preserve">כן אני מצהיר כי ניגשתי למקום </w:t>
      </w:r>
      <w:r w:rsidR="000A0EFF">
        <w:rPr>
          <w:rFonts w:hint="cs"/>
          <w:rtl/>
        </w:rPr>
        <w:t>המבנים הבלתי חוקיים</w:t>
      </w:r>
      <w:r>
        <w:rPr>
          <w:rFonts w:hint="cs"/>
          <w:rtl/>
        </w:rPr>
        <w:t xml:space="preserve"> על מנת לקבל את פרטי עברייני הבניה במקום, אך הדבר לא עלה בידי.</w:t>
      </w:r>
    </w:p>
    <w:p w:rsidR="001241EA" w:rsidRPr="00AF54F7" w:rsidRDefault="001241EA" w:rsidP="001241EA">
      <w:pPr>
        <w:jc w:val="both"/>
        <w:rPr>
          <w:rtl/>
        </w:rPr>
      </w:pPr>
    </w:p>
    <w:p w:rsidR="001241EA" w:rsidRPr="00AF54F7" w:rsidRDefault="001241EA" w:rsidP="001241EA">
      <w:pPr>
        <w:numPr>
          <w:ilvl w:val="0"/>
          <w:numId w:val="8"/>
        </w:numPr>
        <w:ind w:right="0"/>
        <w:jc w:val="both"/>
        <w:rPr>
          <w:b/>
          <w:bCs/>
        </w:rPr>
      </w:pPr>
      <w:r w:rsidRPr="00AF54F7">
        <w:rPr>
          <w:rFonts w:hint="cs"/>
          <w:b/>
          <w:bCs/>
          <w:rtl/>
        </w:rPr>
        <w:t xml:space="preserve">אני מצהיר כי זהו שמי, זו חתימתי ותוכן הצהרתי אמת ולראייה באתי על החתום:  </w:t>
      </w:r>
    </w:p>
    <w:p w:rsidR="001241EA" w:rsidRPr="00AF54F7" w:rsidRDefault="001241EA" w:rsidP="001241EA">
      <w:pPr>
        <w:jc w:val="both"/>
        <w:rPr>
          <w:rtl/>
        </w:rPr>
      </w:pPr>
    </w:p>
    <w:p w:rsidR="001241EA" w:rsidRPr="00AF54F7" w:rsidRDefault="001241EA" w:rsidP="001241EA">
      <w:pPr>
        <w:jc w:val="both"/>
        <w:rPr>
          <w:rtl/>
        </w:rPr>
      </w:pPr>
    </w:p>
    <w:p w:rsidR="001241EA" w:rsidRPr="00AF54F7" w:rsidRDefault="001241EA" w:rsidP="001241EA">
      <w:pPr>
        <w:jc w:val="both"/>
        <w:rPr>
          <w:rtl/>
        </w:rPr>
      </w:pPr>
    </w:p>
    <w:p w:rsidR="001241EA" w:rsidRPr="00AF54F7" w:rsidRDefault="001241EA" w:rsidP="001241EA">
      <w:pPr>
        <w:jc w:val="both"/>
        <w:rPr>
          <w:b/>
          <w:bCs/>
          <w:rtl/>
        </w:rPr>
      </w:pPr>
    </w:p>
    <w:p w:rsidR="001241EA" w:rsidRPr="00AF54F7" w:rsidRDefault="001241EA" w:rsidP="001241EA">
      <w:pPr>
        <w:jc w:val="both"/>
        <w:rPr>
          <w:b/>
          <w:bCs/>
          <w:rtl/>
        </w:rPr>
      </w:pP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t>_________________</w:t>
      </w:r>
    </w:p>
    <w:p w:rsidR="001241EA" w:rsidRPr="00AF54F7" w:rsidRDefault="001241EA" w:rsidP="001241EA">
      <w:pPr>
        <w:jc w:val="both"/>
        <w:rPr>
          <w:b/>
          <w:bCs/>
          <w:rtl/>
        </w:rPr>
      </w:pP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t xml:space="preserve">        </w:t>
      </w:r>
      <w:r>
        <w:rPr>
          <w:rFonts w:hint="cs"/>
          <w:b/>
          <w:bCs/>
          <w:rtl/>
        </w:rPr>
        <w:t>ישי חמו</w:t>
      </w:r>
    </w:p>
    <w:p w:rsidR="001241EA" w:rsidRPr="00AF54F7" w:rsidRDefault="001241EA" w:rsidP="001241EA">
      <w:pPr>
        <w:jc w:val="both"/>
        <w:rPr>
          <w:b/>
          <w:bCs/>
          <w:sz w:val="20"/>
          <w:szCs w:val="20"/>
          <w:rtl/>
        </w:rPr>
      </w:pPr>
    </w:p>
    <w:p w:rsidR="001241EA" w:rsidRPr="00AF54F7" w:rsidRDefault="001241EA" w:rsidP="001241EA">
      <w:pPr>
        <w:jc w:val="both"/>
        <w:rPr>
          <w:b/>
          <w:bCs/>
          <w:sz w:val="20"/>
          <w:szCs w:val="20"/>
          <w:rtl/>
        </w:rPr>
      </w:pPr>
    </w:p>
    <w:p w:rsidR="001241EA" w:rsidRDefault="001241EA" w:rsidP="001241EA">
      <w:pPr>
        <w:jc w:val="both"/>
        <w:rPr>
          <w:b/>
          <w:bCs/>
          <w:sz w:val="20"/>
          <w:szCs w:val="20"/>
          <w:rtl/>
        </w:rPr>
      </w:pPr>
    </w:p>
    <w:p w:rsidR="001241EA" w:rsidRDefault="001241EA" w:rsidP="001241EA">
      <w:pPr>
        <w:jc w:val="both"/>
        <w:rPr>
          <w:b/>
          <w:bCs/>
          <w:sz w:val="20"/>
          <w:szCs w:val="20"/>
          <w:rtl/>
        </w:rPr>
      </w:pPr>
    </w:p>
    <w:p w:rsidR="001241EA" w:rsidRDefault="001241EA" w:rsidP="001241EA">
      <w:pPr>
        <w:jc w:val="both"/>
        <w:rPr>
          <w:b/>
          <w:bCs/>
          <w:sz w:val="20"/>
          <w:szCs w:val="20"/>
          <w:rtl/>
        </w:rPr>
      </w:pPr>
    </w:p>
    <w:p w:rsidR="001241EA" w:rsidRPr="00AF54F7" w:rsidRDefault="001241EA" w:rsidP="001241EA">
      <w:pPr>
        <w:jc w:val="both"/>
        <w:rPr>
          <w:b/>
          <w:bCs/>
          <w:sz w:val="20"/>
          <w:szCs w:val="20"/>
          <w:rtl/>
        </w:rPr>
      </w:pPr>
    </w:p>
    <w:p w:rsidR="001241EA" w:rsidRPr="00AF54F7" w:rsidRDefault="001241EA" w:rsidP="001241EA">
      <w:pPr>
        <w:jc w:val="both"/>
        <w:rPr>
          <w:b/>
          <w:bCs/>
          <w:sz w:val="20"/>
          <w:szCs w:val="20"/>
          <w:rtl/>
        </w:rPr>
      </w:pPr>
    </w:p>
    <w:p w:rsidR="001241EA" w:rsidRPr="00AF54F7" w:rsidRDefault="001241EA" w:rsidP="001241EA">
      <w:pPr>
        <w:jc w:val="both"/>
        <w:rPr>
          <w:b/>
          <w:bCs/>
          <w:sz w:val="28"/>
          <w:szCs w:val="28"/>
          <w:u w:val="single"/>
          <w:rtl/>
        </w:rPr>
      </w:pPr>
      <w:r w:rsidRPr="00AF54F7">
        <w:rPr>
          <w:rFonts w:hint="cs"/>
          <w:b/>
          <w:bCs/>
          <w:sz w:val="20"/>
          <w:szCs w:val="20"/>
          <w:rtl/>
        </w:rPr>
        <w:tab/>
      </w:r>
      <w:r w:rsidRPr="00AF54F7">
        <w:rPr>
          <w:rFonts w:hint="cs"/>
          <w:b/>
          <w:bCs/>
          <w:sz w:val="20"/>
          <w:szCs w:val="20"/>
          <w:rtl/>
        </w:rPr>
        <w:tab/>
      </w:r>
      <w:r w:rsidRPr="00AF54F7">
        <w:rPr>
          <w:rFonts w:hint="cs"/>
          <w:b/>
          <w:bCs/>
          <w:sz w:val="20"/>
          <w:szCs w:val="20"/>
          <w:rtl/>
        </w:rPr>
        <w:tab/>
      </w:r>
      <w:r w:rsidRPr="00AF54F7">
        <w:rPr>
          <w:rFonts w:hint="cs"/>
          <w:b/>
          <w:bCs/>
          <w:sz w:val="20"/>
          <w:szCs w:val="20"/>
          <w:rtl/>
        </w:rPr>
        <w:tab/>
      </w:r>
      <w:r w:rsidRPr="00AF54F7">
        <w:rPr>
          <w:rFonts w:hint="cs"/>
          <w:b/>
          <w:bCs/>
          <w:sz w:val="20"/>
          <w:szCs w:val="20"/>
          <w:rtl/>
        </w:rPr>
        <w:tab/>
      </w:r>
      <w:r w:rsidRPr="00AF54F7">
        <w:rPr>
          <w:rFonts w:hint="cs"/>
          <w:b/>
          <w:bCs/>
          <w:sz w:val="28"/>
          <w:szCs w:val="28"/>
          <w:u w:val="single"/>
          <w:rtl/>
        </w:rPr>
        <w:t xml:space="preserve">אישור </w:t>
      </w:r>
    </w:p>
    <w:p w:rsidR="001241EA" w:rsidRPr="00AF54F7" w:rsidRDefault="001241EA" w:rsidP="001241EA">
      <w:pPr>
        <w:jc w:val="both"/>
        <w:rPr>
          <w:b/>
          <w:bCs/>
          <w:sz w:val="28"/>
          <w:szCs w:val="28"/>
          <w:u w:val="single"/>
          <w:rtl/>
        </w:rPr>
      </w:pPr>
    </w:p>
    <w:p w:rsidR="001241EA" w:rsidRPr="00AF54F7" w:rsidRDefault="001241EA" w:rsidP="001241EA">
      <w:pPr>
        <w:jc w:val="both"/>
        <w:rPr>
          <w:b/>
          <w:bCs/>
          <w:rtl/>
        </w:rPr>
      </w:pPr>
      <w:r w:rsidRPr="00AF54F7">
        <w:rPr>
          <w:rFonts w:hint="cs"/>
          <w:b/>
          <w:bCs/>
          <w:rtl/>
        </w:rPr>
        <w:t xml:space="preserve">אני הח"מ, עו"ד אבי סגל, מאשר בזה כי ביום _________ הופיע בפניי מר </w:t>
      </w:r>
      <w:r>
        <w:rPr>
          <w:rFonts w:hint="cs"/>
          <w:b/>
          <w:bCs/>
          <w:rtl/>
        </w:rPr>
        <w:t>ישי חמו המוכר לי באופן אישי,</w:t>
      </w:r>
      <w:r w:rsidRPr="00AF54F7">
        <w:rPr>
          <w:rFonts w:hint="cs"/>
          <w:b/>
          <w:bCs/>
          <w:rtl/>
        </w:rPr>
        <w:t xml:space="preserve"> ולאחר שהזהרתיו כי עליו לומר את האמת וכי אם לא יעשה כן יהיה צפוי לעונשים הקבועים בחוק, אישר נכונות הצהרתו דלעיל וחתם עליה בפניי. </w:t>
      </w:r>
    </w:p>
    <w:p w:rsidR="001241EA" w:rsidRPr="00AF54F7" w:rsidRDefault="001241EA" w:rsidP="001241EA">
      <w:pPr>
        <w:jc w:val="both"/>
        <w:rPr>
          <w:b/>
          <w:bCs/>
          <w:rtl/>
        </w:rPr>
      </w:pPr>
    </w:p>
    <w:p w:rsidR="001241EA" w:rsidRPr="00AF54F7" w:rsidRDefault="001241EA" w:rsidP="001241EA">
      <w:pPr>
        <w:jc w:val="both"/>
        <w:rPr>
          <w:b/>
          <w:bCs/>
          <w:rtl/>
        </w:rPr>
      </w:pPr>
    </w:p>
    <w:p w:rsidR="001241EA" w:rsidRPr="00AF54F7" w:rsidRDefault="001241EA" w:rsidP="001241EA">
      <w:pPr>
        <w:jc w:val="both"/>
        <w:rPr>
          <w:b/>
          <w:bCs/>
          <w:rtl/>
        </w:rPr>
      </w:pPr>
    </w:p>
    <w:p w:rsidR="001241EA" w:rsidRPr="00AF54F7" w:rsidRDefault="001241EA" w:rsidP="001241EA">
      <w:pPr>
        <w:jc w:val="both"/>
        <w:rPr>
          <w:b/>
          <w:bCs/>
          <w:rtl/>
        </w:rPr>
      </w:pPr>
      <w:r w:rsidRPr="00AF54F7">
        <w:rPr>
          <w:rFonts w:hint="cs"/>
          <w:b/>
          <w:bCs/>
          <w:rtl/>
        </w:rPr>
        <w:t xml:space="preserve">              </w:t>
      </w:r>
    </w:p>
    <w:p w:rsidR="001241EA" w:rsidRPr="00AF54F7" w:rsidRDefault="001241EA" w:rsidP="001241EA">
      <w:pPr>
        <w:jc w:val="both"/>
        <w:rPr>
          <w:b/>
          <w:bCs/>
          <w:rtl/>
        </w:rPr>
      </w:pPr>
      <w:r w:rsidRPr="00AF54F7">
        <w:rPr>
          <w:rFonts w:hint="cs"/>
          <w:b/>
          <w:bCs/>
          <w:rtl/>
        </w:rPr>
        <w:t>______________________</w:t>
      </w: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t>_____________________</w:t>
      </w:r>
    </w:p>
    <w:p w:rsidR="001241EA" w:rsidRPr="00AF54F7" w:rsidRDefault="001241EA" w:rsidP="001241EA">
      <w:pPr>
        <w:jc w:val="both"/>
        <w:rPr>
          <w:b/>
          <w:bCs/>
          <w:rtl/>
        </w:rPr>
      </w:pPr>
      <w:r w:rsidRPr="00AF54F7">
        <w:rPr>
          <w:rFonts w:hint="cs"/>
          <w:b/>
          <w:bCs/>
          <w:rtl/>
        </w:rPr>
        <w:t xml:space="preserve">               חותמת </w:t>
      </w: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r>
      <w:r w:rsidRPr="00AF54F7">
        <w:rPr>
          <w:rFonts w:hint="cs"/>
          <w:b/>
          <w:bCs/>
          <w:rtl/>
        </w:rPr>
        <w:tab/>
        <w:t xml:space="preserve">            אבי סגל, עו"ד </w:t>
      </w:r>
    </w:p>
    <w:p w:rsidR="001241EA" w:rsidRPr="00AF54F7" w:rsidRDefault="001241EA" w:rsidP="001241EA"/>
    <w:p w:rsidR="001241EA" w:rsidRDefault="001241EA" w:rsidP="001241EA">
      <w:pPr>
        <w:pStyle w:val="a3"/>
        <w:tabs>
          <w:tab w:val="clear" w:pos="4153"/>
          <w:tab w:val="clear" w:pos="8306"/>
        </w:tabs>
        <w:spacing w:line="280" w:lineRule="atLeast"/>
        <w:ind w:left="786"/>
        <w:jc w:val="both"/>
      </w:pPr>
    </w:p>
    <w:p w:rsidR="001241EA" w:rsidRDefault="001241EA" w:rsidP="001241EA">
      <w:pPr>
        <w:pStyle w:val="a7"/>
        <w:rPr>
          <w:rtl/>
        </w:rPr>
      </w:pPr>
    </w:p>
    <w:p w:rsidR="00AA0441" w:rsidRDefault="00AA0441" w:rsidP="00824837">
      <w:pPr>
        <w:pStyle w:val="a7"/>
        <w:ind w:left="716"/>
        <w:jc w:val="both"/>
      </w:pPr>
    </w:p>
    <w:p w:rsidR="009811BE" w:rsidRDefault="009811BE" w:rsidP="009811BE">
      <w:pPr>
        <w:ind w:left="26"/>
        <w:jc w:val="both"/>
        <w:rPr>
          <w:rtl/>
        </w:rPr>
      </w:pPr>
    </w:p>
    <w:sectPr w:rsidR="009811BE" w:rsidSect="007C60DC">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497" w:rsidRDefault="00373497" w:rsidP="002E0AD1">
      <w:r>
        <w:separator/>
      </w:r>
    </w:p>
  </w:endnote>
  <w:endnote w:type="continuationSeparator" w:id="0">
    <w:p w:rsidR="00373497" w:rsidRDefault="00373497" w:rsidP="002E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901274"/>
      <w:docPartObj>
        <w:docPartGallery w:val="Page Numbers (Bottom of Page)"/>
        <w:docPartUnique/>
      </w:docPartObj>
    </w:sdtPr>
    <w:sdtEndPr>
      <w:rPr>
        <w:cs/>
      </w:rPr>
    </w:sdtEndPr>
    <w:sdtContent>
      <w:p w:rsidR="009E0D6E" w:rsidRDefault="009E0D6E">
        <w:pPr>
          <w:pStyle w:val="a5"/>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2456A6" w:rsidRPr="002456A6">
          <w:rPr>
            <w:noProof/>
            <w:rtl/>
            <w:lang w:val="he-IL"/>
          </w:rPr>
          <w:t>12</w:t>
        </w:r>
        <w:r>
          <w:fldChar w:fldCharType="end"/>
        </w:r>
      </w:p>
    </w:sdtContent>
  </w:sdt>
  <w:p w:rsidR="002E0AD1" w:rsidRDefault="002E0A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497" w:rsidRDefault="00373497" w:rsidP="002E0AD1">
      <w:r>
        <w:separator/>
      </w:r>
    </w:p>
  </w:footnote>
  <w:footnote w:type="continuationSeparator" w:id="0">
    <w:p w:rsidR="00373497" w:rsidRDefault="00373497" w:rsidP="002E0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F33E6"/>
    <w:multiLevelType w:val="hybridMultilevel"/>
    <w:tmpl w:val="5E28C150"/>
    <w:lvl w:ilvl="0" w:tplc="18A0079E">
      <w:start w:val="1"/>
      <w:numFmt w:val="decimal"/>
      <w:lvlText w:val="%1."/>
      <w:lvlJc w:val="left"/>
      <w:pPr>
        <w:tabs>
          <w:tab w:val="num" w:pos="716"/>
        </w:tabs>
        <w:ind w:left="716" w:hanging="690"/>
      </w:pPr>
      <w:rPr>
        <w:rFonts w:cs="David"/>
        <w:b w:val="0"/>
        <w:bCs w:val="0"/>
        <w:lang w:bidi="he-IL"/>
      </w:rPr>
    </w:lvl>
    <w:lvl w:ilvl="1" w:tplc="C12426A4">
      <w:start w:val="1"/>
      <w:numFmt w:val="hebrew1"/>
      <w:lvlText w:val="%2."/>
      <w:lvlJc w:val="left"/>
      <w:pPr>
        <w:tabs>
          <w:tab w:val="num" w:pos="1106"/>
        </w:tabs>
        <w:ind w:left="1106" w:hanging="360"/>
      </w:pPr>
      <w:rPr>
        <w:rFonts w:ascii="Times New Roman" w:eastAsia="Times New Roman" w:hAnsi="Times New Roman" w:cs="David"/>
      </w:r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 w15:restartNumberingAfterBreak="0">
    <w:nsid w:val="232F0DF6"/>
    <w:multiLevelType w:val="hybridMultilevel"/>
    <w:tmpl w:val="5E28C150"/>
    <w:lvl w:ilvl="0" w:tplc="18A0079E">
      <w:start w:val="1"/>
      <w:numFmt w:val="decimal"/>
      <w:lvlText w:val="%1."/>
      <w:lvlJc w:val="left"/>
      <w:pPr>
        <w:tabs>
          <w:tab w:val="num" w:pos="716"/>
        </w:tabs>
        <w:ind w:left="716" w:hanging="690"/>
      </w:pPr>
      <w:rPr>
        <w:rFonts w:cs="David"/>
        <w:b w:val="0"/>
        <w:bCs w:val="0"/>
        <w:lang w:bidi="he-IL"/>
      </w:rPr>
    </w:lvl>
    <w:lvl w:ilvl="1" w:tplc="C12426A4">
      <w:start w:val="1"/>
      <w:numFmt w:val="hebrew1"/>
      <w:lvlText w:val="%2."/>
      <w:lvlJc w:val="left"/>
      <w:pPr>
        <w:tabs>
          <w:tab w:val="num" w:pos="1106"/>
        </w:tabs>
        <w:ind w:left="1106" w:hanging="360"/>
      </w:pPr>
      <w:rPr>
        <w:rFonts w:ascii="Times New Roman" w:eastAsia="Times New Roman" w:hAnsi="Times New Roman" w:cs="David"/>
      </w:r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2" w15:restartNumberingAfterBreak="0">
    <w:nsid w:val="46531816"/>
    <w:multiLevelType w:val="hybridMultilevel"/>
    <w:tmpl w:val="128A9F74"/>
    <w:lvl w:ilvl="0" w:tplc="5DDAF5F4">
      <w:start w:val="1"/>
      <w:numFmt w:val="decimal"/>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4C687E6E"/>
    <w:multiLevelType w:val="hybridMultilevel"/>
    <w:tmpl w:val="75B080EA"/>
    <w:lvl w:ilvl="0" w:tplc="37B22BC2">
      <w:start w:val="1"/>
      <w:numFmt w:val="decimal"/>
      <w:lvlText w:val="%1."/>
      <w:lvlJc w:val="left"/>
      <w:pPr>
        <w:tabs>
          <w:tab w:val="num" w:pos="1800"/>
        </w:tabs>
        <w:ind w:left="1800" w:hanging="360"/>
      </w:pPr>
      <w:rPr>
        <w:b/>
        <w:bCs/>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4FBA45E0"/>
    <w:multiLevelType w:val="hybridMultilevel"/>
    <w:tmpl w:val="5E28C150"/>
    <w:lvl w:ilvl="0" w:tplc="18A0079E">
      <w:start w:val="1"/>
      <w:numFmt w:val="decimal"/>
      <w:lvlText w:val="%1."/>
      <w:lvlJc w:val="left"/>
      <w:pPr>
        <w:tabs>
          <w:tab w:val="num" w:pos="716"/>
        </w:tabs>
        <w:ind w:left="716" w:hanging="690"/>
      </w:pPr>
      <w:rPr>
        <w:rFonts w:cs="David"/>
        <w:b w:val="0"/>
        <w:bCs w:val="0"/>
        <w:lang w:bidi="he-IL"/>
      </w:rPr>
    </w:lvl>
    <w:lvl w:ilvl="1" w:tplc="C12426A4">
      <w:start w:val="1"/>
      <w:numFmt w:val="hebrew1"/>
      <w:lvlText w:val="%2."/>
      <w:lvlJc w:val="left"/>
      <w:pPr>
        <w:tabs>
          <w:tab w:val="num" w:pos="1106"/>
        </w:tabs>
        <w:ind w:left="1106" w:hanging="360"/>
      </w:pPr>
      <w:rPr>
        <w:rFonts w:ascii="Times New Roman" w:eastAsia="Times New Roman" w:hAnsi="Times New Roman" w:cs="David"/>
      </w:r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5" w15:restartNumberingAfterBreak="0">
    <w:nsid w:val="751E48DB"/>
    <w:multiLevelType w:val="hybridMultilevel"/>
    <w:tmpl w:val="7C0072E6"/>
    <w:lvl w:ilvl="0" w:tplc="6F72C45C">
      <w:start w:val="1"/>
      <w:numFmt w:val="hebrew1"/>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F0"/>
    <w:rsid w:val="000A0EFF"/>
    <w:rsid w:val="000C1BAA"/>
    <w:rsid w:val="001241EA"/>
    <w:rsid w:val="00164066"/>
    <w:rsid w:val="002111CA"/>
    <w:rsid w:val="002456A6"/>
    <w:rsid w:val="002D56E2"/>
    <w:rsid w:val="002E0AD1"/>
    <w:rsid w:val="00373497"/>
    <w:rsid w:val="003E02A3"/>
    <w:rsid w:val="00440237"/>
    <w:rsid w:val="004E5BE3"/>
    <w:rsid w:val="005B7C1E"/>
    <w:rsid w:val="005E7D19"/>
    <w:rsid w:val="005F2895"/>
    <w:rsid w:val="007C60DC"/>
    <w:rsid w:val="008017A5"/>
    <w:rsid w:val="00810CC7"/>
    <w:rsid w:val="00824837"/>
    <w:rsid w:val="008665F0"/>
    <w:rsid w:val="00897E04"/>
    <w:rsid w:val="009811BE"/>
    <w:rsid w:val="009E0D6E"/>
    <w:rsid w:val="00A4327B"/>
    <w:rsid w:val="00AA0441"/>
    <w:rsid w:val="00BF77EA"/>
    <w:rsid w:val="00D55FAD"/>
    <w:rsid w:val="00DC2829"/>
    <w:rsid w:val="00E616FB"/>
    <w:rsid w:val="00EA6E24"/>
    <w:rsid w:val="00EC0C52"/>
    <w:rsid w:val="00F53184"/>
    <w:rsid w:val="00F93B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C0025-7D09-4D08-B805-E4BC1A10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24"/>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0AD1"/>
    <w:pPr>
      <w:tabs>
        <w:tab w:val="center" w:pos="4153"/>
        <w:tab w:val="right" w:pos="8306"/>
      </w:tabs>
    </w:pPr>
  </w:style>
  <w:style w:type="character" w:customStyle="1" w:styleId="a4">
    <w:name w:val="כותרת עליונה תו"/>
    <w:basedOn w:val="a0"/>
    <w:link w:val="a3"/>
    <w:rsid w:val="002E0AD1"/>
  </w:style>
  <w:style w:type="paragraph" w:styleId="a5">
    <w:name w:val="footer"/>
    <w:basedOn w:val="a"/>
    <w:link w:val="a6"/>
    <w:uiPriority w:val="99"/>
    <w:unhideWhenUsed/>
    <w:rsid w:val="002E0AD1"/>
    <w:pPr>
      <w:tabs>
        <w:tab w:val="center" w:pos="4153"/>
        <w:tab w:val="right" w:pos="8306"/>
      </w:tabs>
    </w:pPr>
  </w:style>
  <w:style w:type="character" w:customStyle="1" w:styleId="a6">
    <w:name w:val="כותרת תחתונה תו"/>
    <w:basedOn w:val="a0"/>
    <w:link w:val="a5"/>
    <w:uiPriority w:val="99"/>
    <w:rsid w:val="002E0AD1"/>
  </w:style>
  <w:style w:type="paragraph" w:styleId="a7">
    <w:name w:val="List Paragraph"/>
    <w:basedOn w:val="a"/>
    <w:uiPriority w:val="34"/>
    <w:qFormat/>
    <w:rsid w:val="00EA6E24"/>
    <w:pPr>
      <w:ind w:left="720"/>
    </w:pPr>
  </w:style>
  <w:style w:type="character" w:styleId="Hyperlink">
    <w:name w:val="Hyperlink"/>
    <w:basedOn w:val="a0"/>
    <w:uiPriority w:val="99"/>
    <w:semiHidden/>
    <w:unhideWhenUsed/>
    <w:rsid w:val="00AA0441"/>
    <w:rPr>
      <w:color w:val="0563C1" w:themeColor="hyperlink"/>
      <w:u w:val="single"/>
    </w:rPr>
  </w:style>
  <w:style w:type="paragraph" w:styleId="a8">
    <w:name w:val="Quote"/>
    <w:basedOn w:val="a"/>
    <w:link w:val="a9"/>
    <w:qFormat/>
    <w:rsid w:val="00AA0441"/>
    <w:pPr>
      <w:keepLines/>
      <w:spacing w:line="360" w:lineRule="auto"/>
      <w:ind w:left="1134" w:right="1134"/>
      <w:jc w:val="both"/>
    </w:pPr>
    <w:rPr>
      <w:kern w:val="28"/>
    </w:rPr>
  </w:style>
  <w:style w:type="character" w:customStyle="1" w:styleId="a9">
    <w:name w:val="ציטוט תו"/>
    <w:basedOn w:val="a0"/>
    <w:link w:val="a8"/>
    <w:rsid w:val="00AA0441"/>
    <w:rPr>
      <w:rFonts w:ascii="Times New Roman" w:eastAsia="Times New Roman" w:hAnsi="Times New Roman" w:cs="David"/>
      <w:kern w:val="28"/>
      <w:sz w:val="24"/>
      <w:szCs w:val="24"/>
      <w:lang w:eastAsia="he-IL"/>
    </w:rPr>
  </w:style>
  <w:style w:type="paragraph" w:customStyle="1" w:styleId="ruller5">
    <w:name w:val="ruller5"/>
    <w:basedOn w:val="a"/>
    <w:rsid w:val="00AA0441"/>
    <w:pPr>
      <w:bidi w:val="0"/>
      <w:spacing w:before="100" w:beforeAutospacing="1" w:after="100" w:afterAutospacing="1"/>
    </w:pPr>
    <w:rPr>
      <w:rFonts w:cs="Times New Roman"/>
      <w:lang w:eastAsia="en-US"/>
    </w:rPr>
  </w:style>
  <w:style w:type="character" w:customStyle="1" w:styleId="apple-converted-space">
    <w:name w:val="apple-converted-space"/>
    <w:basedOn w:val="a0"/>
    <w:rsid w:val="00AA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evo.co.il/case/589703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evo.co.il/case/5952074" TargetMode="External"/><Relationship Id="rId17" Type="http://schemas.openxmlformats.org/officeDocument/2006/relationships/hyperlink" Target="http://www.nevo.co.il/case/6057529" TargetMode="External"/><Relationship Id="rId2" Type="http://schemas.openxmlformats.org/officeDocument/2006/relationships/styles" Target="styles.xml"/><Relationship Id="rId16" Type="http://schemas.openxmlformats.org/officeDocument/2006/relationships/hyperlink" Target="http://www.nevo.co.il/case/60967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inks/psika/?link=%F2%F4%209178/85&amp;Pvol=%EE%E0" TargetMode="External"/><Relationship Id="rId5" Type="http://schemas.openxmlformats.org/officeDocument/2006/relationships/footnotes" Target="footnotes.xml"/><Relationship Id="rId15" Type="http://schemas.openxmlformats.org/officeDocument/2006/relationships/hyperlink" Target="http://www.nevo.co.il/case/6008927" TargetMode="External"/><Relationship Id="rId10" Type="http://schemas.openxmlformats.org/officeDocument/2006/relationships/hyperlink" Target="http://www.nevo.co.il/links/psika/?link=&#1512;&#1506;&#1508;%205584/03&amp;Pvol=&#1504;&#14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evo.co.il/case/601537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9991</TotalTime>
  <Pages>1</Pages>
  <Words>3902</Words>
  <Characters>19515</Characters>
  <Application>Microsoft Office Word</Application>
  <DocSecurity>0</DocSecurity>
  <Lines>162</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2019-06-18T04:11:00Z</dcterms:created>
  <dcterms:modified xsi:type="dcterms:W3CDTF">2019-07-04T05:28:00Z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PC-5</vt:lpwstr>
  </property>
  <property fmtid="{D5CDD505-2E9C-101B-9397-08002B2CF9AE}" pid="5" name="DocCounter">
    <vt:lpwstr>22336</vt:lpwstr>
  </property>
  <property fmtid="{D5CDD505-2E9C-101B-9397-08002B2CF9AE}" pid="6" name="לקוח_אחראי_לקוח">
    <vt:lpwstr>דוד סגל</vt:lpwstr>
  </property>
  <property fmtid="{D5CDD505-2E9C-101B-9397-08002B2CF9AE}" pid="7" name="לקוח_הערות">
    <vt:lpwstr/>
  </property>
  <property fmtid="{D5CDD505-2E9C-101B-9397-08002B2CF9AE}" pid="8" name="לקוח_חברה">
    <vt:lpwstr/>
  </property>
  <property fmtid="{D5CDD505-2E9C-101B-9397-08002B2CF9AE}" pid="9" name="לקוח_כמות_תיקים">
    <vt:lpwstr>58</vt:lpwstr>
  </property>
  <property fmtid="{D5CDD505-2E9C-101B-9397-08002B2CF9AE}" pid="10" name="לקוח_מספר_לקוח_אב">
    <vt:lpwstr/>
  </property>
  <property fmtid="{D5CDD505-2E9C-101B-9397-08002B2CF9AE}" pid="11" name="לקוח_שם_לקוח_אב">
    <vt:lpwstr/>
  </property>
  <property fmtid="{D5CDD505-2E9C-101B-9397-08002B2CF9AE}" pid="12" name="לקוח_מזכירה">
    <vt:lpwstr/>
  </property>
  <property fmtid="{D5CDD505-2E9C-101B-9397-08002B2CF9AE}" pid="13" name="לקוח_מחלקה">
    <vt:lpwstr/>
  </property>
  <property fmtid="{D5CDD505-2E9C-101B-9397-08002B2CF9AE}" pid="14" name="לקוח_מספר_לקוח">
    <vt:lpwstr>2873</vt:lpwstr>
  </property>
  <property fmtid="{D5CDD505-2E9C-101B-9397-08002B2CF9AE}" pid="15" name="לקוח_מספר_מזהה">
    <vt:lpwstr/>
  </property>
  <property fmtid="{D5CDD505-2E9C-101B-9397-08002B2CF9AE}" pid="16" name="לקוח_סוג_ומספר_מזהה">
    <vt:lpwstr/>
  </property>
  <property fmtid="{D5CDD505-2E9C-101B-9397-08002B2CF9AE}" pid="17" name="לקוח_פרטי_חשבון_בנק_קוד_בנק">
    <vt:lpwstr/>
  </property>
  <property fmtid="{D5CDD505-2E9C-101B-9397-08002B2CF9AE}" pid="18" name="לקוח_פרטי_חשבון_בנק_שם_בנק">
    <vt:lpwstr/>
  </property>
  <property fmtid="{D5CDD505-2E9C-101B-9397-08002B2CF9AE}" pid="19" name="לקוח_פרטי_חשבון_בנק_סניף">
    <vt:lpwstr/>
  </property>
  <property fmtid="{D5CDD505-2E9C-101B-9397-08002B2CF9AE}" pid="20" name="לקוח_פרטי_חשבון_בנק_מספר_חשבון">
    <vt:lpwstr/>
  </property>
  <property fmtid="{D5CDD505-2E9C-101B-9397-08002B2CF9AE}" pid="21" name="לקוח_שם_לקוח">
    <vt:lpwstr>רגבים</vt:lpwstr>
  </property>
  <property fmtid="{D5CDD505-2E9C-101B-9397-08002B2CF9AE}" pid="22" name="לקוח_שם_משפחה">
    <vt:lpwstr>רגבים</vt:lpwstr>
  </property>
  <property fmtid="{D5CDD505-2E9C-101B-9397-08002B2CF9AE}" pid="23" name="לקוח_שם_משפטי">
    <vt:lpwstr/>
  </property>
  <property fmtid="{D5CDD505-2E9C-101B-9397-08002B2CF9AE}" pid="24" name="לקוח_שם_פרטי">
    <vt:lpwstr/>
  </property>
  <property fmtid="{D5CDD505-2E9C-101B-9397-08002B2CF9AE}" pid="25" name="לקוח_שם_באנגלית">
    <vt:lpwstr/>
  </property>
  <property fmtid="{D5CDD505-2E9C-101B-9397-08002B2CF9AE}" pid="26" name="לקוח_שם_אב">
    <vt:lpwstr/>
  </property>
  <property fmtid="{D5CDD505-2E9C-101B-9397-08002B2CF9AE}" pid="27" name="לקוח_תאריך_פתיחה">
    <vt:lpwstr/>
  </property>
  <property fmtid="{D5CDD505-2E9C-101B-9397-08002B2CF9AE}" pid="28" name="לקוח_תואר">
    <vt:lpwstr/>
  </property>
  <property fmtid="{D5CDD505-2E9C-101B-9397-08002B2CF9AE}" pid="29" name="לקוח_תפקיד">
    <vt:lpwstr/>
  </property>
  <property fmtid="{D5CDD505-2E9C-101B-9397-08002B2CF9AE}" pid="30" name="לקוח_כתובת_סוג_כתובת">
    <vt:lpwstr/>
  </property>
  <property fmtid="{D5CDD505-2E9C-101B-9397-08002B2CF9AE}" pid="31" name="לקוח_כתובת_רחוב_תד">
    <vt:lpwstr/>
  </property>
  <property fmtid="{D5CDD505-2E9C-101B-9397-08002B2CF9AE}" pid="32" name="לקוח_כתובת_מספר">
    <vt:lpwstr/>
  </property>
  <property fmtid="{D5CDD505-2E9C-101B-9397-08002B2CF9AE}" pid="33" name="לקוח_כתובת_כניסה">
    <vt:lpwstr/>
  </property>
  <property fmtid="{D5CDD505-2E9C-101B-9397-08002B2CF9AE}" pid="34" name="לקוח_כתובת_דירה">
    <vt:lpwstr/>
  </property>
  <property fmtid="{D5CDD505-2E9C-101B-9397-08002B2CF9AE}" pid="35" name="לקוח_כתובת_יישוב">
    <vt:lpwstr/>
  </property>
  <property fmtid="{D5CDD505-2E9C-101B-9397-08002B2CF9AE}" pid="36" name="לקוח_כתובת_מיקוד">
    <vt:lpwstr/>
  </property>
  <property fmtid="{D5CDD505-2E9C-101B-9397-08002B2CF9AE}" pid="37" name="לקוח_כתובת_ארץ">
    <vt:lpwstr/>
  </property>
  <property fmtid="{D5CDD505-2E9C-101B-9397-08002B2CF9AE}" pid="38" name="לקוח_כתובת_מדינהאזור">
    <vt:lpwstr/>
  </property>
  <property fmtid="{D5CDD505-2E9C-101B-9397-08002B2CF9AE}" pid="39" name="לקוח_כתובת_טלפון_1">
    <vt:lpwstr/>
  </property>
  <property fmtid="{D5CDD505-2E9C-101B-9397-08002B2CF9AE}" pid="40" name="לקוח_כתובת_טלפון_2">
    <vt:lpwstr/>
  </property>
  <property fmtid="{D5CDD505-2E9C-101B-9397-08002B2CF9AE}" pid="41" name="לקוח_כתובת_סלולרי">
    <vt:lpwstr/>
  </property>
  <property fmtid="{D5CDD505-2E9C-101B-9397-08002B2CF9AE}" pid="42" name="לקוח_כתובת_פקס">
    <vt:lpwstr/>
  </property>
  <property fmtid="{D5CDD505-2E9C-101B-9397-08002B2CF9AE}" pid="43" name="לקוח_כתובת_דואל">
    <vt:lpwstr/>
  </property>
  <property fmtid="{D5CDD505-2E9C-101B-9397-08002B2CF9AE}" pid="44" name="לקוח_כתובת_כתובת_מלאה">
    <vt:lpwstr/>
  </property>
  <property fmtid="{D5CDD505-2E9C-101B-9397-08002B2CF9AE}" pid="45" name="לקוח_כתובת_כתובת_לדיוור">
    <vt:lpwstr/>
  </property>
  <property fmtid="{D5CDD505-2E9C-101B-9397-08002B2CF9AE}" pid="46" name="לקוח_תאריך_לידה">
    <vt:lpwstr/>
  </property>
  <property fmtid="{D5CDD505-2E9C-101B-9397-08002B2CF9AE}" pid="47" name="Tik_Barcode">
    <vt:lpwstr/>
  </property>
  <property fmtid="{D5CDD505-2E9C-101B-9397-08002B2CF9AE}" pid="48" name="תיק_הערות">
    <vt:lpwstr/>
  </property>
  <property fmtid="{D5CDD505-2E9C-101B-9397-08002B2CF9AE}" pid="49" name="תיק_זיהוי_נוסף">
    <vt:lpwstr/>
  </property>
  <property fmtid="{D5CDD505-2E9C-101B-9397-08002B2CF9AE}" pid="50" name="תיק_הליך">
    <vt:lpwstr/>
  </property>
  <property fmtid="{D5CDD505-2E9C-101B-9397-08002B2CF9AE}" pid="51" name="תיק_יתרת_חוב">
    <vt:lpwstr/>
  </property>
  <property fmtid="{D5CDD505-2E9C-101B-9397-08002B2CF9AE}" pid="52" name="תיק_יתרת_חוב_במילים">
    <vt:lpwstr/>
  </property>
  <property fmtid="{D5CDD505-2E9C-101B-9397-08002B2CF9AE}" pid="53" name="תיק_כלל_חישוב">
    <vt:lpwstr/>
  </property>
  <property fmtid="{D5CDD505-2E9C-101B-9397-08002B2CF9AE}" pid="54" name="תיק_כתובת_בימש">
    <vt:lpwstr/>
  </property>
  <property fmtid="{D5CDD505-2E9C-101B-9397-08002B2CF9AE}" pid="55" name="תיק_מהות_תיק">
    <vt:lpwstr>תיק משפטי</vt:lpwstr>
  </property>
  <property fmtid="{D5CDD505-2E9C-101B-9397-08002B2CF9AE}" pid="56" name="תיק_מטפל">
    <vt:lpwstr>יעל סינמון</vt:lpwstr>
  </property>
  <property fmtid="{D5CDD505-2E9C-101B-9397-08002B2CF9AE}" pid="57" name="תיק_מספר_תיק">
    <vt:lpwstr>2873/57</vt:lpwstr>
  </property>
  <property fmtid="{D5CDD505-2E9C-101B-9397-08002B2CF9AE}" pid="58" name="תיק_מקום_תיוק">
    <vt:lpwstr/>
  </property>
  <property fmtid="{D5CDD505-2E9C-101B-9397-08002B2CF9AE}" pid="59" name="תיק_מספר_ארגז">
    <vt:lpwstr/>
  </property>
  <property fmtid="{D5CDD505-2E9C-101B-9397-08002B2CF9AE}" pid="60" name="תיק_נמצא_אצל">
    <vt:lpwstr/>
  </property>
  <property fmtid="{D5CDD505-2E9C-101B-9397-08002B2CF9AE}" pid="61" name="תיק_סוג_תיק">
    <vt:lpwstr>משפטי</vt:lpwstr>
  </property>
  <property fmtid="{D5CDD505-2E9C-101B-9397-08002B2CF9AE}" pid="62" name="תיק_סטטוס">
    <vt:lpwstr>פתוח</vt:lpwstr>
  </property>
  <property fmtid="{D5CDD505-2E9C-101B-9397-08002B2CF9AE}" pid="63" name="תיק_פרטי_חשבון_בנק_קוד_בנק">
    <vt:lpwstr/>
  </property>
  <property fmtid="{D5CDD505-2E9C-101B-9397-08002B2CF9AE}" pid="64" name="תיק_פרטי_חשבון_בנק_שם_בנק">
    <vt:lpwstr/>
  </property>
  <property fmtid="{D5CDD505-2E9C-101B-9397-08002B2CF9AE}" pid="65" name="תיק_פרטי_חשבון_בנק_סניף">
    <vt:lpwstr/>
  </property>
  <property fmtid="{D5CDD505-2E9C-101B-9397-08002B2CF9AE}" pid="66" name="תיק_פרטי_חשבון_בנק_מספר_חשבון">
    <vt:lpwstr/>
  </property>
  <property fmtid="{D5CDD505-2E9C-101B-9397-08002B2CF9AE}" pid="67" name="תיק_שלב_גביה">
    <vt:lpwstr/>
  </property>
  <property fmtid="{D5CDD505-2E9C-101B-9397-08002B2CF9AE}" pid="68" name="תיק_שם_בימש">
    <vt:lpwstr/>
  </property>
  <property fmtid="{D5CDD505-2E9C-101B-9397-08002B2CF9AE}" pid="69" name="תיק_שם_בימש_מלא">
    <vt:lpwstr/>
  </property>
  <property fmtid="{D5CDD505-2E9C-101B-9397-08002B2CF9AE}" pid="70" name="תיק_שם_שופט">
    <vt:lpwstr/>
  </property>
  <property fmtid="{D5CDD505-2E9C-101B-9397-08002B2CF9AE}" pid="71" name="תיק_שם_תיק">
    <vt:lpwstr>גבעון החדשה</vt:lpwstr>
  </property>
  <property fmtid="{D5CDD505-2E9C-101B-9397-08002B2CF9AE}" pid="72" name="תיק_תאריך_העברה_לארכיב">
    <vt:lpwstr/>
  </property>
  <property fmtid="{D5CDD505-2E9C-101B-9397-08002B2CF9AE}" pid="73" name="תיק_תאריך_סגירה">
    <vt:lpwstr/>
  </property>
  <property fmtid="{D5CDD505-2E9C-101B-9397-08002B2CF9AE}" pid="74" name="תיק_תאריך_סטטוס">
    <vt:lpwstr>18/06/19</vt:lpwstr>
  </property>
  <property fmtid="{D5CDD505-2E9C-101B-9397-08002B2CF9AE}" pid="75" name="תיק_תאריך_עדכון">
    <vt:lpwstr>18/06/19</vt:lpwstr>
  </property>
  <property fmtid="{D5CDD505-2E9C-101B-9397-08002B2CF9AE}" pid="76" name="תיק_תאריך_פסד">
    <vt:lpwstr/>
  </property>
  <property fmtid="{D5CDD505-2E9C-101B-9397-08002B2CF9AE}" pid="77" name="תיק_תאריך_פתיחה">
    <vt:lpwstr>18/06/19</vt:lpwstr>
  </property>
  <property fmtid="{D5CDD505-2E9C-101B-9397-08002B2CF9AE}" pid="78" name="תיק_תאריך_שיערוך">
    <vt:lpwstr/>
  </property>
  <property fmtid="{D5CDD505-2E9C-101B-9397-08002B2CF9AE}" pid="79" name="תיק_תיק_איחוד">
    <vt:lpwstr/>
  </property>
  <property fmtid="{D5CDD505-2E9C-101B-9397-08002B2CF9AE}" pid="80" name="תיק_תיק_בימש">
    <vt:lpwstr/>
  </property>
  <property fmtid="{D5CDD505-2E9C-101B-9397-08002B2CF9AE}" pid="81" name="תיק_תיק_ארצי">
    <vt:lpwstr/>
  </property>
  <property fmtid="{D5CDD505-2E9C-101B-9397-08002B2CF9AE}" pid="82" name="תיק_תיק_הוצלפ">
    <vt:lpwstr/>
  </property>
  <property fmtid="{D5CDD505-2E9C-101B-9397-08002B2CF9AE}" pid="83" name="תיק_לשכת_הוצלפ">
    <vt:lpwstr/>
  </property>
  <property fmtid="{D5CDD505-2E9C-101B-9397-08002B2CF9AE}" pid="84" name="תיק_סכום_פתיחה_בהוצלפ">
    <vt:lpwstr>0.00</vt:lpwstr>
  </property>
  <property fmtid="{D5CDD505-2E9C-101B-9397-08002B2CF9AE}" pid="85" name="תיק_סכום_פתיחה_בהוצלפ_הוצאות">
    <vt:lpwstr>0.00</vt:lpwstr>
  </property>
  <property fmtid="{D5CDD505-2E9C-101B-9397-08002B2CF9AE}" pid="86" name="תיק_תאריך_פתיחה_הוצלפ">
    <vt:lpwstr>18/06/19</vt:lpwstr>
  </property>
  <property fmtid="{D5CDD505-2E9C-101B-9397-08002B2CF9AE}" pid="87" name="תיק_רפרנט">
    <vt:lpwstr/>
  </property>
  <property fmtid="{D5CDD505-2E9C-101B-9397-08002B2CF9AE}" pid="88" name="תיק_תאריך_דיון_אחרון">
    <vt:lpwstr/>
  </property>
  <property fmtid="{D5CDD505-2E9C-101B-9397-08002B2CF9AE}" pid="89" name="תיק_שעת_דיון_אחרון">
    <vt:lpwstr/>
  </property>
  <property fmtid="{D5CDD505-2E9C-101B-9397-08002B2CF9AE}" pid="90" name="תיק_מיקום_דיון_אחרון">
    <vt:lpwstr/>
  </property>
  <property fmtid="{D5CDD505-2E9C-101B-9397-08002B2CF9AE}" pid="91" name="תיק_שופט_בדיון_אחרון">
    <vt:lpwstr/>
  </property>
  <property fmtid="{D5CDD505-2E9C-101B-9397-08002B2CF9AE}" pid="92" name="תיק_חוב_כולל_תקבולים_שטרם_נפרעו">
    <vt:lpwstr/>
  </property>
  <property fmtid="{D5CDD505-2E9C-101B-9397-08002B2CF9AE}" pid="93" name="תיק_תאריך_עצירת_שערוך">
    <vt:lpwstr/>
  </property>
  <property fmtid="{D5CDD505-2E9C-101B-9397-08002B2CF9AE}" pid="94" name="תיק_צוות">
    <vt:lpwstr/>
  </property>
  <property fmtid="{D5CDD505-2E9C-101B-9397-08002B2CF9AE}" pid="95" name="Document_Barcode">
    <vt:lpwstr>ÌOD00022336[Î</vt:lpwstr>
  </property>
  <property fmtid="{D5CDD505-2E9C-101B-9397-08002B2CF9AE}" pid="96" name="מסמך_מטפלים">
    <vt:lpwstr>יעל</vt:lpwstr>
  </property>
  <property fmtid="{D5CDD505-2E9C-101B-9397-08002B2CF9AE}" pid="97" name="מסמך_מיקום">
    <vt:lpwstr>\\SEGAL-SRV\Odlight\Docs\(2873)רגבים\(2873_57)גבעון החדשה\(1)כתב עתירה.docx</vt:lpwstr>
  </property>
  <property fmtid="{D5CDD505-2E9C-101B-9397-08002B2CF9AE}" pid="98" name="מסמך_מספר_במערכת">
    <vt:lpwstr>22336</vt:lpwstr>
  </property>
  <property fmtid="{D5CDD505-2E9C-101B-9397-08002B2CF9AE}" pid="99" name="מסמך_מספר_בתיק">
    <vt:lpwstr>1</vt:lpwstr>
  </property>
  <property fmtid="{D5CDD505-2E9C-101B-9397-08002B2CF9AE}" pid="100" name="מסמך_מספר_מסמך">
    <vt:lpwstr>1</vt:lpwstr>
  </property>
  <property fmtid="{D5CDD505-2E9C-101B-9397-08002B2CF9AE}" pid="101" name="מסמך_מספר_מיכל">
    <vt:lpwstr/>
  </property>
  <property fmtid="{D5CDD505-2E9C-101B-9397-08002B2CF9AE}" pid="102" name="מסמך_סוג">
    <vt:lpwstr>מיקרוסופט וורד</vt:lpwstr>
  </property>
  <property fmtid="{D5CDD505-2E9C-101B-9397-08002B2CF9AE}" pid="103" name="מסמך_סטטוס_טיפול">
    <vt:lpwstr>חדש</vt:lpwstr>
  </property>
  <property fmtid="{D5CDD505-2E9C-101B-9397-08002B2CF9AE}" pid="104" name="מסמך_סיווג_משפטי">
    <vt:lpwstr/>
  </property>
  <property fmtid="{D5CDD505-2E9C-101B-9397-08002B2CF9AE}" pid="105" name="מסמך_סימוכין">
    <vt:lpwstr>2873/57/1</vt:lpwstr>
  </property>
  <property fmtid="{D5CDD505-2E9C-101B-9397-08002B2CF9AE}" pid="106" name="מסמך_קטגוריה">
    <vt:lpwstr>בית משפט</vt:lpwstr>
  </property>
  <property fmtid="{D5CDD505-2E9C-101B-9397-08002B2CF9AE}" pid="107" name="מסמך_שבלונה">
    <vt:lpwstr>בית משפט</vt:lpwstr>
  </property>
  <property fmtid="{D5CDD505-2E9C-101B-9397-08002B2CF9AE}" pid="108" name="מסמך_שם_מחבר">
    <vt:lpwstr>יעל</vt:lpwstr>
  </property>
  <property fmtid="{D5CDD505-2E9C-101B-9397-08002B2CF9AE}" pid="109" name="מסמך_שם_מסמך">
    <vt:lpwstr>כתב עתירה</vt:lpwstr>
  </property>
  <property fmtid="{D5CDD505-2E9C-101B-9397-08002B2CF9AE}" pid="110" name="מסמך_שם_מקליד">
    <vt:lpwstr>יעל</vt:lpwstr>
  </property>
  <property fmtid="{D5CDD505-2E9C-101B-9397-08002B2CF9AE}" pid="111" name="מסמך_תאריך">
    <vt:lpwstr>18/06/2019</vt:lpwstr>
  </property>
  <property fmtid="{D5CDD505-2E9C-101B-9397-08002B2CF9AE}" pid="112" name="מסמך_תאריך_14_יום">
    <vt:lpwstr>02/07/2019</vt:lpwstr>
  </property>
  <property fmtid="{D5CDD505-2E9C-101B-9397-08002B2CF9AE}" pid="113" name="מסמך_תאריך_30_יום">
    <vt:lpwstr>18/07/2019</vt:lpwstr>
  </property>
  <property fmtid="{D5CDD505-2E9C-101B-9397-08002B2CF9AE}" pid="114" name="מסמך_תאריך_45_יום">
    <vt:lpwstr>02/08/2019</vt:lpwstr>
  </property>
  <property fmtid="{D5CDD505-2E9C-101B-9397-08002B2CF9AE}" pid="115" name="מסמך_תאריך_עדכון">
    <vt:lpwstr>18/06/2019</vt:lpwstr>
  </property>
  <property fmtid="{D5CDD505-2E9C-101B-9397-08002B2CF9AE}" pid="116" name="מסמך_תקציר">
    <vt:lpwstr/>
  </property>
  <property fmtid="{D5CDD505-2E9C-101B-9397-08002B2CF9AE}" pid="117" name="מסמך_תת_קטגוריה">
    <vt:lpwstr/>
  </property>
  <property fmtid="{D5CDD505-2E9C-101B-9397-08002B2CF9AE}" pid="118" name="מסמך_מספר_גרסאות_מסמך">
    <vt:lpwstr/>
  </property>
</Properties>
</file>