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372" w:type="dxa"/>
        <w:tblLook w:val="0000" w:firstRow="0" w:lastRow="0" w:firstColumn="0" w:lastColumn="0" w:noHBand="0" w:noVBand="0"/>
      </w:tblPr>
      <w:tblGrid>
        <w:gridCol w:w="9"/>
        <w:gridCol w:w="8354"/>
        <w:gridCol w:w="9"/>
      </w:tblGrid>
      <w:tr w:rsidR="00036227" w:rsidTr="006B232B">
        <w:trPr>
          <w:gridBefore w:val="1"/>
          <w:wBefore w:w="9" w:type="dxa"/>
        </w:trPr>
        <w:tc>
          <w:tcPr>
            <w:tcW w:w="8363" w:type="dxa"/>
            <w:gridSpan w:val="2"/>
          </w:tcPr>
          <w:p w:rsidR="00916FF8" w:rsidRPr="00624A42" w:rsidRDefault="00C83840" w:rsidP="004C7868"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 בשבתו כבית משפט גבוה לצדק</w:t>
            </w:r>
          </w:p>
        </w:tc>
      </w:tr>
      <w:tr w:rsidR="00036227" w:rsidTr="006B232B">
        <w:trPr>
          <w:gridAfter w:val="1"/>
          <w:wAfter w:w="9" w:type="dxa"/>
          <w:trHeight w:val="342"/>
        </w:trPr>
        <w:tc>
          <w:tcPr>
            <w:tcW w:w="8363" w:type="dxa"/>
            <w:gridSpan w:val="2"/>
          </w:tcPr>
          <w:p w:rsidR="00916FF8" w:rsidRPr="00810894" w:rsidRDefault="00C83840"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בג"ץ  1250/17</w:t>
            </w:r>
          </w:p>
        </w:tc>
      </w:tr>
      <w:bookmarkEnd w:id="0"/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36227" w:rsidTr="00EC23AC">
        <w:trPr>
          <w:trHeight w:val="287"/>
        </w:trPr>
        <w:tc>
          <w:tcPr>
            <w:tcW w:w="3261" w:type="dxa"/>
          </w:tcPr>
          <w:p w:rsidR="00036227" w:rsidRDefault="00CB7600"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 w:rsidR="00036227">
              <w:rPr>
                <w:rtl/>
              </w:rPr>
              <w:t>פני:</w:t>
            </w:r>
            <w:r w:rsidR="00036227">
              <w:rPr>
                <w:rtl/>
              </w:rPr>
              <w:tab/>
            </w:r>
          </w:p>
        </w:tc>
        <w:tc>
          <w:tcPr>
            <w:tcW w:w="5239" w:type="dxa"/>
          </w:tcPr>
          <w:p w:rsidR="00036227" w:rsidRDefault="00C83840">
            <w:pPr>
              <w:pStyle w:val="BodyRuller"/>
            </w:pPr>
            <w:r>
              <w:rPr>
                <w:rtl/>
              </w:rPr>
              <w:t>כבוד השופט י' עמית</w:t>
            </w:r>
          </w:p>
        </w:tc>
      </w:tr>
      <w:tr w:rsidR="00C83840" w:rsidTr="00EC23AC">
        <w:trPr>
          <w:trHeight w:val="287"/>
        </w:trPr>
        <w:tc>
          <w:tcPr>
            <w:tcW w:w="3261" w:type="dxa"/>
          </w:tcPr>
          <w:p w:rsidR="00C83840" w:rsidRDefault="00C83840">
            <w:pPr>
              <w:pStyle w:val="BodyRuller"/>
              <w:rPr>
                <w:rFonts w:hint="cs"/>
                <w:rtl/>
              </w:rPr>
            </w:pPr>
          </w:p>
        </w:tc>
        <w:tc>
          <w:tcPr>
            <w:tcW w:w="5239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השופטת י' וילנר</w:t>
            </w:r>
          </w:p>
        </w:tc>
      </w:tr>
      <w:tr w:rsidR="00C83840" w:rsidTr="00EC23AC">
        <w:trPr>
          <w:trHeight w:val="287"/>
        </w:trPr>
        <w:tc>
          <w:tcPr>
            <w:tcW w:w="3261" w:type="dxa"/>
          </w:tcPr>
          <w:p w:rsidR="00C83840" w:rsidRDefault="00C83840">
            <w:pPr>
              <w:pStyle w:val="BodyRuller"/>
              <w:rPr>
                <w:rFonts w:hint="cs"/>
                <w:rtl/>
              </w:rPr>
            </w:pPr>
          </w:p>
        </w:tc>
        <w:tc>
          <w:tcPr>
            <w:tcW w:w="5239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 ע' גרוסקופף</w:t>
            </w:r>
          </w:p>
        </w:tc>
      </w:tr>
    </w:tbl>
    <w:p w:rsidR="00916FF8" w:rsidRDefault="00916FF8"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33"/>
        <w:gridCol w:w="5130"/>
      </w:tblGrid>
      <w:tr w:rsidR="00036227" w:rsidTr="006B232B">
        <w:tc>
          <w:tcPr>
            <w:tcW w:w="3233" w:type="dxa"/>
          </w:tcPr>
          <w:p w:rsidR="00036227" w:rsidRDefault="00C83840">
            <w:pPr>
              <w:pStyle w:val="BodyRuller"/>
            </w:pPr>
            <w:r>
              <w:rPr>
                <w:rtl/>
              </w:rPr>
              <w:t>העותרים:</w:t>
            </w:r>
          </w:p>
        </w:tc>
        <w:tc>
          <w:tcPr>
            <w:tcW w:w="5130" w:type="dxa"/>
          </w:tcPr>
          <w:p w:rsidR="00036227" w:rsidRDefault="00C83840">
            <w:pPr>
              <w:pStyle w:val="BodyRuller"/>
            </w:pPr>
            <w:r>
              <w:rPr>
                <w:rtl/>
              </w:rPr>
              <w:t>1. ידידיה שפיץ</w:t>
            </w:r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2. נחום שוורץ</w:t>
            </w:r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3. אלעד זיו</w:t>
            </w:r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4. יהודה וייס</w:t>
            </w:r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5. יהוידע </w:t>
            </w:r>
            <w:proofErr w:type="spellStart"/>
            <w:r>
              <w:rPr>
                <w:rtl/>
              </w:rPr>
              <w:t>ניזרי</w:t>
            </w:r>
            <w:proofErr w:type="spellEnd"/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6. אביחי </w:t>
            </w:r>
            <w:proofErr w:type="spellStart"/>
            <w:r>
              <w:rPr>
                <w:rtl/>
              </w:rPr>
              <w:t>בוארון</w:t>
            </w:r>
            <w:proofErr w:type="spellEnd"/>
          </w:p>
        </w:tc>
      </w:tr>
      <w:tr w:rsidR="00C83840" w:rsidTr="006B232B">
        <w:tc>
          <w:tcPr>
            <w:tcW w:w="3233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0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7. יעקב </w:t>
            </w:r>
            <w:proofErr w:type="spellStart"/>
            <w:r>
              <w:rPr>
                <w:rtl/>
              </w:rPr>
              <w:t>רודיק</w:t>
            </w:r>
            <w:proofErr w:type="spellEnd"/>
          </w:p>
        </w:tc>
      </w:tr>
    </w:tbl>
    <w:p w:rsidR="006B232B" w:rsidRDefault="006B232B"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 w:rsidR="00036227" w:rsidTr="006B232B">
        <w:tc>
          <w:tcPr>
            <w:tcW w:w="3222" w:type="dxa"/>
          </w:tcPr>
          <w:p w:rsidR="00036227" w:rsidRDefault="00036227">
            <w:pPr>
              <w:pStyle w:val="BodyRuller"/>
            </w:pPr>
          </w:p>
        </w:tc>
        <w:tc>
          <w:tcPr>
            <w:tcW w:w="5141" w:type="dxa"/>
          </w:tcPr>
          <w:p w:rsidR="00036227" w:rsidRDefault="00036227"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 w:rsidR="006B232B" w:rsidRDefault="006B232B"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32"/>
        <w:gridCol w:w="5131"/>
      </w:tblGrid>
      <w:tr w:rsidR="00036227" w:rsidTr="006B232B">
        <w:tc>
          <w:tcPr>
            <w:tcW w:w="3232" w:type="dxa"/>
          </w:tcPr>
          <w:p w:rsidR="00036227" w:rsidRDefault="00C83840">
            <w:pPr>
              <w:pStyle w:val="BodyRuller"/>
            </w:pPr>
            <w:r>
              <w:rPr>
                <w:rtl/>
              </w:rPr>
              <w:t>המשיבים:</w:t>
            </w:r>
          </w:p>
        </w:tc>
        <w:tc>
          <w:tcPr>
            <w:tcW w:w="5131" w:type="dxa"/>
          </w:tcPr>
          <w:p w:rsidR="00036227" w:rsidRDefault="00C83840">
            <w:pPr>
              <w:pStyle w:val="BodyRuller"/>
            </w:pPr>
            <w:r>
              <w:rPr>
                <w:rtl/>
              </w:rPr>
              <w:t>1. שר הביטחון</w:t>
            </w:r>
          </w:p>
        </w:tc>
      </w:tr>
      <w:tr w:rsidR="00C83840" w:rsidTr="006B232B">
        <w:tc>
          <w:tcPr>
            <w:tcW w:w="3232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1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2. מפקד פיקוד המרכז</w:t>
            </w:r>
          </w:p>
        </w:tc>
      </w:tr>
      <w:tr w:rsidR="00C83840" w:rsidTr="006B232B">
        <w:tc>
          <w:tcPr>
            <w:tcW w:w="3232" w:type="dxa"/>
          </w:tcPr>
          <w:p w:rsidR="00C83840" w:rsidRDefault="00C83840">
            <w:pPr>
              <w:pStyle w:val="BodyRuller"/>
              <w:rPr>
                <w:rtl/>
              </w:rPr>
            </w:pPr>
          </w:p>
        </w:tc>
        <w:tc>
          <w:tcPr>
            <w:tcW w:w="5131" w:type="dxa"/>
          </w:tcPr>
          <w:p w:rsidR="00C83840" w:rsidRDefault="00C83840">
            <w:pPr>
              <w:pStyle w:val="BodyRuller"/>
              <w:rPr>
                <w:rtl/>
              </w:rPr>
            </w:pPr>
            <w:r>
              <w:rPr>
                <w:rtl/>
              </w:rPr>
              <w:t>3. ראש המנהל האזרחי ביהודה ושומרון</w:t>
            </w:r>
          </w:p>
        </w:tc>
      </w:tr>
    </w:tbl>
    <w:p w:rsidR="006B232B" w:rsidRDefault="006B232B">
      <w:pPr>
        <w:pStyle w:val="Ruller3"/>
        <w:rPr>
          <w:rtl/>
        </w:rPr>
      </w:pP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 w:rsidR="00036227" w:rsidTr="00CA1444">
        <w:tc>
          <w:tcPr>
            <w:tcW w:w="5103" w:type="dxa"/>
          </w:tcPr>
          <w:p w:rsidR="00916FF8" w:rsidRDefault="006B232B">
            <w:pPr>
              <w:pStyle w:val="BodyRull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עתירה למתן צו על תנאי ובקשה למתן צו ביניים </w:t>
            </w:r>
            <w:r>
              <w:rPr>
                <w:sz w:val="24"/>
                <w:szCs w:val="24"/>
                <w:rtl/>
              </w:rPr>
              <w:t>–</w:t>
            </w:r>
          </w:p>
          <w:p w:rsidR="006B232B" w:rsidRPr="00265F6E" w:rsidRDefault="006B232B">
            <w:pPr>
              <w:pStyle w:val="BodyRull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בקשה מוסכמת למחיקת העתירה</w:t>
            </w:r>
          </w:p>
        </w:tc>
      </w:tr>
    </w:tbl>
    <w:p w:rsidR="006B232B" w:rsidRDefault="006B232B">
      <w:pPr>
        <w:pStyle w:val="Ruller3"/>
        <w:rPr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3218"/>
        <w:gridCol w:w="5094"/>
      </w:tblGrid>
      <w:tr w:rsidR="006B232B" w:rsidTr="0029355D">
        <w:tc>
          <w:tcPr>
            <w:tcW w:w="3284" w:type="dxa"/>
          </w:tcPr>
          <w:p w:rsidR="006B232B" w:rsidRDefault="006B232B" w:rsidP="0029355D">
            <w:pPr>
              <w:pStyle w:val="BodyRuller"/>
            </w:pPr>
            <w:r>
              <w:rPr>
                <w:rFonts w:hint="cs"/>
                <w:rtl/>
              </w:rPr>
              <w:t>בשם העותרים:</w:t>
            </w:r>
          </w:p>
        </w:tc>
        <w:tc>
          <w:tcPr>
            <w:tcW w:w="5238" w:type="dxa"/>
          </w:tcPr>
          <w:p w:rsidR="006B232B" w:rsidRDefault="006B232B" w:rsidP="0029355D">
            <w:pPr>
              <w:pStyle w:val="BodyRuller"/>
            </w:pPr>
            <w:r>
              <w:rPr>
                <w:rFonts w:hint="cs"/>
                <w:rtl/>
              </w:rPr>
              <w:t>עו"ד בועז ארזי</w:t>
            </w:r>
          </w:p>
        </w:tc>
      </w:tr>
      <w:tr w:rsidR="006B232B" w:rsidTr="0029355D">
        <w:tc>
          <w:tcPr>
            <w:tcW w:w="3284" w:type="dxa"/>
          </w:tcPr>
          <w:p w:rsidR="006B232B" w:rsidRDefault="006B232B" w:rsidP="0029355D">
            <w:pPr>
              <w:pStyle w:val="BodyRull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בשם המשיבים:</w:t>
            </w:r>
          </w:p>
        </w:tc>
        <w:tc>
          <w:tcPr>
            <w:tcW w:w="5238" w:type="dxa"/>
          </w:tcPr>
          <w:p w:rsidR="006B232B" w:rsidRDefault="006B232B" w:rsidP="0029355D">
            <w:pPr>
              <w:pStyle w:val="BodyRull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עו"ד רועי </w:t>
            </w:r>
            <w:proofErr w:type="spellStart"/>
            <w:r>
              <w:rPr>
                <w:rFonts w:hint="cs"/>
                <w:rtl/>
              </w:rPr>
              <w:t>שויקה</w:t>
            </w:r>
            <w:proofErr w:type="spellEnd"/>
          </w:p>
        </w:tc>
      </w:tr>
    </w:tbl>
    <w:p w:rsidR="006B232B" w:rsidRDefault="006B232B" w:rsidP="00541777">
      <w:pPr>
        <w:pStyle w:val="Ruller3"/>
        <w:rPr>
          <w:rtl/>
        </w:rPr>
      </w:pPr>
    </w:p>
    <w:p w:rsidR="006B232B" w:rsidRDefault="006B232B" w:rsidP="00541777">
      <w:pPr>
        <w:pStyle w:val="Ruller3"/>
        <w:rPr>
          <w:rtl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6B232B">
        <w:tc>
          <w:tcPr>
            <w:tcW w:w="8363" w:type="dxa"/>
          </w:tcPr>
          <w:p w:rsidR="00916FF8" w:rsidRDefault="00C83840">
            <w:pPr>
              <w:pStyle w:val="DocumentHead"/>
            </w:pPr>
            <w:bookmarkStart w:id="1" w:name="secretary"/>
            <w:bookmarkStart w:id="2" w:name="BeginProtocol"/>
            <w:bookmarkEnd w:id="1"/>
            <w:bookmarkEnd w:id="2"/>
            <w:r>
              <w:rPr>
                <w:rtl/>
              </w:rPr>
              <w:t>פסק-דין</w:t>
            </w:r>
          </w:p>
        </w:tc>
      </w:tr>
    </w:tbl>
    <w:p w:rsidR="0065522F" w:rsidRDefault="0065522F" w:rsidP="006B232B">
      <w:pPr>
        <w:pStyle w:val="Ruller4"/>
        <w:rPr>
          <w:rtl/>
        </w:rPr>
      </w:pPr>
    </w:p>
    <w:p w:rsidR="006B232B" w:rsidRDefault="006B232B" w:rsidP="006B232B">
      <w:pPr>
        <w:pStyle w:val="Ruller4"/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לבקשת העותרים, אנו מורים על מחיקת העתירה.</w:t>
      </w:r>
    </w:p>
    <w:p w:rsidR="006B232B" w:rsidRDefault="006B232B" w:rsidP="006B232B">
      <w:pPr>
        <w:pStyle w:val="Ruller4"/>
        <w:rPr>
          <w:rtl/>
        </w:rPr>
      </w:pPr>
    </w:p>
    <w:p w:rsidR="006B232B" w:rsidRDefault="006B232B" w:rsidP="006B232B">
      <w:pPr>
        <w:pStyle w:val="Ruller4"/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טענות העותרים שמורות להם.</w:t>
      </w:r>
    </w:p>
    <w:p w:rsidR="006B232B" w:rsidRDefault="006B232B" w:rsidP="006B232B">
      <w:pPr>
        <w:pStyle w:val="Ruller4"/>
        <w:rPr>
          <w:rtl/>
        </w:rPr>
      </w:pPr>
    </w:p>
    <w:p w:rsidR="006B232B" w:rsidRDefault="006B232B" w:rsidP="006B232B">
      <w:pPr>
        <w:pStyle w:val="Ruller4"/>
        <w:rPr>
          <w:rtl/>
        </w:rPr>
      </w:pPr>
      <w:r>
        <w:rPr>
          <w:rtl/>
        </w:rPr>
        <w:tab/>
        <w:t>נית</w:t>
      </w:r>
      <w:r>
        <w:rPr>
          <w:rFonts w:hint="cs"/>
          <w:rtl/>
        </w:rPr>
        <w:t>ן</w:t>
      </w:r>
      <w:r>
        <w:rPr>
          <w:rtl/>
        </w:rPr>
        <w:t xml:space="preserve"> היום, </w:t>
      </w:r>
      <w:r>
        <w:rPr>
          <w:rFonts w:hint="eastAsia"/>
          <w:rtl/>
        </w:rPr>
        <w:t>‏ט</w:t>
      </w:r>
      <w:r>
        <w:rPr>
          <w:rtl/>
        </w:rPr>
        <w:t xml:space="preserve">"ז בשבט </w:t>
      </w:r>
      <w:proofErr w:type="spellStart"/>
      <w:r>
        <w:rPr>
          <w:rtl/>
        </w:rPr>
        <w:t>התשע"ט</w:t>
      </w:r>
      <w:proofErr w:type="spellEnd"/>
      <w:r>
        <w:rPr>
          <w:rtl/>
        </w:rPr>
        <w:t xml:space="preserve"> (</w:t>
      </w:r>
      <w:r>
        <w:rPr>
          <w:rFonts w:hint="eastAsia"/>
          <w:rtl/>
        </w:rPr>
        <w:t>‏</w:t>
      </w:r>
      <w:r>
        <w:rPr>
          <w:rtl/>
        </w:rPr>
        <w:t>22.1.2019).</w:t>
      </w:r>
    </w:p>
    <w:p w:rsidR="006B232B" w:rsidRDefault="006B232B" w:rsidP="006B232B">
      <w:pPr>
        <w:pStyle w:val="Ruller4"/>
        <w:rPr>
          <w:rtl/>
        </w:rPr>
      </w:pPr>
    </w:p>
    <w:p w:rsidR="006B232B" w:rsidRDefault="006B232B" w:rsidP="006B232B">
      <w:pPr>
        <w:pStyle w:val="Ruller4"/>
        <w:rPr>
          <w:rtl/>
        </w:rPr>
      </w:pPr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87"/>
        <w:gridCol w:w="2788"/>
        <w:gridCol w:w="2788"/>
      </w:tblGrid>
      <w:tr w:rsidR="001A0164" w:rsidTr="006B232B">
        <w:tc>
          <w:tcPr>
            <w:tcW w:w="2787" w:type="dxa"/>
            <w:shd w:val="clear" w:color="auto" w:fill="auto"/>
          </w:tcPr>
          <w:p w:rsidR="00016EF1" w:rsidRDefault="00C83840" w:rsidP="006B232B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  <w:tc>
          <w:tcPr>
            <w:tcW w:w="2788" w:type="dxa"/>
            <w:shd w:val="clear" w:color="auto" w:fill="auto"/>
          </w:tcPr>
          <w:p w:rsidR="001A0164" w:rsidRDefault="00C83840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 ת</w:t>
            </w:r>
          </w:p>
        </w:tc>
        <w:tc>
          <w:tcPr>
            <w:tcW w:w="2788" w:type="dxa"/>
            <w:shd w:val="clear" w:color="auto" w:fill="auto"/>
          </w:tcPr>
          <w:p w:rsidR="001A0164" w:rsidRDefault="00C83840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</w:tr>
    </w:tbl>
    <w:p w:rsidR="00044953" w:rsidRDefault="00044953" w:rsidP="00A51FAE">
      <w:pPr>
        <w:pStyle w:val="Ruller4"/>
        <w:rPr>
          <w:rtl/>
        </w:rPr>
      </w:pPr>
    </w:p>
    <w:p w:rsidR="00916FF8" w:rsidRDefault="00916FF8">
      <w:pPr>
        <w:rPr>
          <w:szCs w:val="16"/>
          <w:rtl/>
        </w:rPr>
      </w:pPr>
      <w:r>
        <w:rPr>
          <w:szCs w:val="16"/>
          <w:rtl/>
        </w:rPr>
        <w:t>_________________</w:t>
      </w:r>
      <w:r w:rsidR="00A12E0F">
        <w:rPr>
          <w:rFonts w:hint="cs"/>
          <w:szCs w:val="16"/>
          <w:rtl/>
        </w:rPr>
        <w:t>________</w:t>
      </w:r>
    </w:p>
    <w:p w:rsidR="00916FF8" w:rsidRDefault="00591983" w:rsidP="00B009CC">
      <w:pPr>
        <w:pStyle w:val="Ruller38"/>
        <w:rPr>
          <w:rtl/>
        </w:rPr>
      </w:pPr>
      <w:r>
        <w:rPr>
          <w:sz w:val="16"/>
        </w:rPr>
        <w:t xml:space="preserve"> </w:t>
      </w:r>
      <w:r w:rsidR="00A12E0F">
        <w:rPr>
          <w:sz w:val="16"/>
        </w:rPr>
        <w:t xml:space="preserve">  </w:t>
      </w:r>
      <w:r w:rsidR="00C83840">
        <w:rPr>
          <w:sz w:val="16"/>
        </w:rPr>
        <w:t xml:space="preserve">17012500_E22.docx   </w:t>
      </w:r>
      <w:r w:rsidR="00C83840">
        <w:rPr>
          <w:sz w:val="16"/>
          <w:rtl/>
        </w:rPr>
        <w:t>עכ</w:t>
      </w:r>
      <w:r w:rsidR="006B232B">
        <w:rPr>
          <w:rFonts w:hint="cs"/>
          <w:rtl/>
        </w:rPr>
        <w:t>ב</w:t>
      </w:r>
    </w:p>
    <w:p w:rsidR="003F1F97" w:rsidRDefault="00591983" w:rsidP="006B232B"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</w:t>
      </w:r>
      <w:r w:rsidR="00B63343">
        <w:rPr>
          <w:rFonts w:hint="cs"/>
          <w:rtl/>
        </w:rPr>
        <w:t>077</w:t>
      </w:r>
      <w:r>
        <w:rPr>
          <w:rFonts w:hint="cs"/>
          <w:rtl/>
        </w:rPr>
        <w:t>-</w:t>
      </w:r>
      <w:r w:rsidR="00B63343">
        <w:rPr>
          <w:rFonts w:hint="cs"/>
          <w:rtl/>
        </w:rPr>
        <w:t>270</w:t>
      </w:r>
      <w:r w:rsidR="00E21CA9">
        <w:rPr>
          <w:rFonts w:hint="cs"/>
          <w:rtl/>
        </w:rPr>
        <w:t>3</w:t>
      </w:r>
      <w:r w:rsidR="009B38DA">
        <w:rPr>
          <w:rFonts w:hint="cs"/>
          <w:rtl/>
        </w:rPr>
        <w:t>333</w:t>
      </w:r>
      <w:r>
        <w:rPr>
          <w:rFonts w:hint="cs"/>
          <w:rtl/>
        </w:rPr>
        <w:t xml:space="preserve"> ; אתר אינטרנט,  </w:t>
      </w:r>
      <w:hyperlink r:id="rId8" w:history="1">
        <w:r w:rsidR="0058440A" w:rsidRPr="00CB1590">
          <w:rPr>
            <w:rStyle w:val="Hyperlink"/>
            <w:sz w:val="16"/>
          </w:rPr>
          <w:t>http://supreme.court.gov.i</w:t>
        </w:r>
      </w:hyperlink>
      <w:r w:rsidR="0058440A" w:rsidRPr="00CB1590">
        <w:rPr>
          <w:sz w:val="16"/>
        </w:rPr>
        <w:t>l</w:t>
      </w:r>
      <w:bookmarkStart w:id="3" w:name="_GoBack"/>
      <w:bookmarkEnd w:id="3"/>
    </w:p>
    <w:sectPr w:rsidR="003F1F97" w:rsidSect="006B2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97" w:bottom="567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12" w:rsidRDefault="007F7512">
      <w:r>
        <w:separator/>
      </w:r>
    </w:p>
  </w:endnote>
  <w:endnote w:type="continuationSeparator" w:id="0">
    <w:p w:rsidR="007F7512" w:rsidRDefault="007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TUR">
    <w:altName w:val="Arial"/>
    <w:charset w:val="00"/>
    <w:family w:val="swiss"/>
    <w:pitch w:val="variable"/>
    <w:sig w:usb0="E0002AFF" w:usb1="C0007843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3"/>
      <w:rPr>
        <w:rtl/>
      </w:rPr>
    </w:pPr>
  </w:p>
  <w:p w:rsidR="00377102" w:rsidRDefault="003771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40" w:rsidRDefault="00C8384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4D" w:rsidRPr="00F959DB" w:rsidRDefault="00045B4D" w:rsidP="00914156">
    <w:pPr>
      <w:pStyle w:val="a3"/>
      <w:bidi w:val="0"/>
      <w:jc w:val="right"/>
      <w:rPr>
        <w:sz w:val="16"/>
        <w:szCs w:val="16"/>
      </w:rPr>
    </w:pPr>
    <w:bookmarkStart w:id="4" w:name="footer_line"/>
    <w:bookmarkEnd w:id="4"/>
  </w:p>
  <w:p w:rsidR="00045B4D" w:rsidRDefault="00045B4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12" w:rsidRDefault="007F7512">
      <w:r>
        <w:separator/>
      </w:r>
    </w:p>
  </w:footnote>
  <w:footnote w:type="continuationSeparator" w:id="0">
    <w:p w:rsidR="007F7512" w:rsidRDefault="007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B232B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 w:rsidR="00045B4D" w:rsidTr="00EC23AC">
      <w:trPr>
        <w:trHeight w:val="342"/>
      </w:trPr>
      <w:tc>
        <w:tcPr>
          <w:tcW w:w="9828" w:type="dxa"/>
        </w:tcPr>
        <w:p w:rsidR="00377102" w:rsidRPr="002F7BB6" w:rsidRDefault="00EE3810" w:rsidP="00045B4D">
          <w:pPr>
            <w:pStyle w:val="Casenameintextbody"/>
            <w:jc w:val="center"/>
            <w:rPr>
              <w:u w:val="none"/>
              <w:rtl/>
            </w:rPr>
          </w:pPr>
          <w:r w:rsidRPr="002F7BB6"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B4D" w:rsidRDefault="00045B4D" w:rsidP="00045B4D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7"/>
    <w:rsid w:val="00016EF1"/>
    <w:rsid w:val="00032036"/>
    <w:rsid w:val="00036227"/>
    <w:rsid w:val="00044953"/>
    <w:rsid w:val="00045B4D"/>
    <w:rsid w:val="000725F5"/>
    <w:rsid w:val="00072AD2"/>
    <w:rsid w:val="000B1478"/>
    <w:rsid w:val="000C4690"/>
    <w:rsid w:val="000D25C4"/>
    <w:rsid w:val="001024E6"/>
    <w:rsid w:val="00134A67"/>
    <w:rsid w:val="001A0164"/>
    <w:rsid w:val="00200D6B"/>
    <w:rsid w:val="00265F6E"/>
    <w:rsid w:val="002876BF"/>
    <w:rsid w:val="002A4A7A"/>
    <w:rsid w:val="002A4BF3"/>
    <w:rsid w:val="002F7BB6"/>
    <w:rsid w:val="003448B2"/>
    <w:rsid w:val="00361DB2"/>
    <w:rsid w:val="0037622E"/>
    <w:rsid w:val="00377102"/>
    <w:rsid w:val="0039709B"/>
    <w:rsid w:val="003D72DA"/>
    <w:rsid w:val="003F1F97"/>
    <w:rsid w:val="0041048F"/>
    <w:rsid w:val="00437D59"/>
    <w:rsid w:val="004610A4"/>
    <w:rsid w:val="004B29FF"/>
    <w:rsid w:val="004C7868"/>
    <w:rsid w:val="00503A3E"/>
    <w:rsid w:val="00527F02"/>
    <w:rsid w:val="0058440A"/>
    <w:rsid w:val="00591983"/>
    <w:rsid w:val="00624A42"/>
    <w:rsid w:val="0065522F"/>
    <w:rsid w:val="006A30F7"/>
    <w:rsid w:val="006B232B"/>
    <w:rsid w:val="006C42AD"/>
    <w:rsid w:val="00741CC0"/>
    <w:rsid w:val="007B512F"/>
    <w:rsid w:val="007F7512"/>
    <w:rsid w:val="00810894"/>
    <w:rsid w:val="008143AB"/>
    <w:rsid w:val="00836667"/>
    <w:rsid w:val="008C2F11"/>
    <w:rsid w:val="008D78B9"/>
    <w:rsid w:val="008E3F85"/>
    <w:rsid w:val="009051E8"/>
    <w:rsid w:val="00914156"/>
    <w:rsid w:val="00916FF8"/>
    <w:rsid w:val="00922093"/>
    <w:rsid w:val="00930C85"/>
    <w:rsid w:val="009B38DA"/>
    <w:rsid w:val="009F2F53"/>
    <w:rsid w:val="009F4187"/>
    <w:rsid w:val="00A12E0F"/>
    <w:rsid w:val="00A51FAE"/>
    <w:rsid w:val="00AB69F7"/>
    <w:rsid w:val="00AD097B"/>
    <w:rsid w:val="00AD64B9"/>
    <w:rsid w:val="00AE022B"/>
    <w:rsid w:val="00B009CC"/>
    <w:rsid w:val="00B0782A"/>
    <w:rsid w:val="00B62B8C"/>
    <w:rsid w:val="00B63343"/>
    <w:rsid w:val="00B87FF7"/>
    <w:rsid w:val="00BA0B08"/>
    <w:rsid w:val="00BC0E82"/>
    <w:rsid w:val="00BD40F9"/>
    <w:rsid w:val="00C41C86"/>
    <w:rsid w:val="00C63A6C"/>
    <w:rsid w:val="00C83840"/>
    <w:rsid w:val="00CA13AF"/>
    <w:rsid w:val="00CA1444"/>
    <w:rsid w:val="00CB1590"/>
    <w:rsid w:val="00CB7600"/>
    <w:rsid w:val="00CC3639"/>
    <w:rsid w:val="00D00B1D"/>
    <w:rsid w:val="00D25F16"/>
    <w:rsid w:val="00E21CA9"/>
    <w:rsid w:val="00E31063"/>
    <w:rsid w:val="00E36FE9"/>
    <w:rsid w:val="00E73E98"/>
    <w:rsid w:val="00E90D72"/>
    <w:rsid w:val="00EA0BE1"/>
    <w:rsid w:val="00EC23AC"/>
    <w:rsid w:val="00EC2992"/>
    <w:rsid w:val="00ED46A4"/>
    <w:rsid w:val="00ED6FD9"/>
    <w:rsid w:val="00EE3810"/>
    <w:rsid w:val="00F63C3B"/>
    <w:rsid w:val="00F959DB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E6C8F-CB47-466F-8C77-FE586C2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rsid w:val="00A51FAE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rsid w:val="00A51FAE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rsid w:val="00A51FAE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rsid w:val="00A51FAE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rsid w:val="004C7868"/>
    <w:pPr>
      <w:jc w:val="left"/>
    </w:pPr>
    <w:rPr>
      <w:szCs w:val="28"/>
    </w:rPr>
  </w:style>
  <w:style w:type="paragraph" w:customStyle="1" w:styleId="BODYVERDICT">
    <w:name w:val="BODY VERDICT"/>
    <w:basedOn w:val="a"/>
    <w:rsid w:val="00036227"/>
    <w:rPr>
      <w:rFonts w:cs="FrankRuehl"/>
      <w:spacing w:val="10"/>
      <w:sz w:val="22"/>
      <w:szCs w:val="28"/>
    </w:rPr>
  </w:style>
  <w:style w:type="character" w:styleId="Hyperlink">
    <w:name w:val="Hyperlink"/>
    <w:rsid w:val="003F1F97"/>
    <w:rPr>
      <w:color w:val="0000FF"/>
      <w:u w:val="single"/>
    </w:rPr>
  </w:style>
  <w:style w:type="table" w:styleId="a6">
    <w:name w:val="Table Grid"/>
    <w:basedOn w:val="a1"/>
    <w:rsid w:val="003F1F9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58440A"/>
    <w:rPr>
      <w:color w:val="954F72" w:themeColor="followedHyperlink"/>
      <w:u w:val="single"/>
    </w:rPr>
  </w:style>
  <w:style w:type="character" w:styleId="a7">
    <w:name w:val="annotation reference"/>
    <w:basedOn w:val="a0"/>
    <w:rsid w:val="00D00B1D"/>
    <w:rPr>
      <w:sz w:val="16"/>
      <w:szCs w:val="16"/>
    </w:rPr>
  </w:style>
  <w:style w:type="paragraph" w:styleId="a8">
    <w:name w:val="annotation text"/>
    <w:basedOn w:val="a"/>
    <w:link w:val="a9"/>
    <w:rsid w:val="00D00B1D"/>
    <w:rPr>
      <w:szCs w:val="20"/>
    </w:rPr>
  </w:style>
  <w:style w:type="character" w:customStyle="1" w:styleId="a9">
    <w:name w:val="טקסט הערה תו"/>
    <w:basedOn w:val="a0"/>
    <w:link w:val="a8"/>
    <w:rsid w:val="00D00B1D"/>
    <w:rPr>
      <w:rFonts w:cs="David"/>
    </w:rPr>
  </w:style>
  <w:style w:type="paragraph" w:styleId="aa">
    <w:name w:val="annotation subject"/>
    <w:basedOn w:val="a8"/>
    <w:next w:val="a8"/>
    <w:link w:val="ab"/>
    <w:rsid w:val="00D00B1D"/>
    <w:rPr>
      <w:b/>
      <w:bCs/>
    </w:rPr>
  </w:style>
  <w:style w:type="character" w:customStyle="1" w:styleId="ab">
    <w:name w:val="נושא הערה תו"/>
    <w:basedOn w:val="a9"/>
    <w:link w:val="aa"/>
    <w:rsid w:val="00D00B1D"/>
    <w:rPr>
      <w:rFonts w:cs="David"/>
      <w:b/>
      <w:bCs/>
    </w:rPr>
  </w:style>
  <w:style w:type="paragraph" w:styleId="ac">
    <w:name w:val="Balloon Text"/>
    <w:basedOn w:val="a"/>
    <w:link w:val="ad"/>
    <w:rsid w:val="00D00B1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sid w:val="00D00B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98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2019-01-22T11:04:30Z</cp:lastPrinted>
  <dcterms:created xsi:type="dcterms:W3CDTF">2019-01-22T11:04:30Z</dcterms:created>
  <dcterms:modified xsi:type="dcterms:W3CDTF">2019-01-22T11:04:30Z</dcterms:modified>
</cp:coreProperties>
</file>