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59E" w:rsidRPr="00176D91" w:rsidRDefault="005847EB" w:rsidP="00032B3B">
      <w:pPr>
        <w:bidi/>
        <w:spacing w:after="0" w:line="360" w:lineRule="auto"/>
        <w:jc w:val="both"/>
        <w:rPr>
          <w:rFonts w:cs="David"/>
          <w:b/>
          <w:bCs/>
          <w:sz w:val="24"/>
          <w:szCs w:val="24"/>
          <w:u w:val="single"/>
          <w:rtl/>
        </w:rPr>
      </w:pPr>
      <w:r w:rsidRPr="00176D91">
        <w:rPr>
          <w:rFonts w:cs="David"/>
          <w:b/>
          <w:bCs/>
          <w:sz w:val="24"/>
          <w:szCs w:val="24"/>
          <w:rtl/>
        </w:rPr>
        <w:t xml:space="preserve">בבית המשפט העליון בירושלים </w:t>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t xml:space="preserve">בג"צ </w:t>
      </w:r>
      <w:r w:rsidR="00117AD6">
        <w:rPr>
          <w:rFonts w:cs="David" w:hint="cs"/>
          <w:b/>
          <w:bCs/>
          <w:sz w:val="24"/>
          <w:szCs w:val="24"/>
          <w:rtl/>
        </w:rPr>
        <w:t>1</w:t>
      </w:r>
      <w:r w:rsidR="00032B3B">
        <w:rPr>
          <w:rFonts w:cs="David" w:hint="cs"/>
          <w:b/>
          <w:bCs/>
          <w:sz w:val="24"/>
          <w:szCs w:val="24"/>
          <w:rtl/>
        </w:rPr>
        <w:t>9</w:t>
      </w:r>
      <w:r w:rsidR="00201A3E" w:rsidRPr="00176D91">
        <w:rPr>
          <w:rFonts w:cs="David" w:hint="cs"/>
          <w:b/>
          <w:bCs/>
          <w:sz w:val="24"/>
          <w:szCs w:val="24"/>
          <w:rtl/>
        </w:rPr>
        <w:t>/</w:t>
      </w:r>
      <w:r w:rsidRPr="00176D91">
        <w:rPr>
          <w:rFonts w:cs="David"/>
          <w:b/>
          <w:bCs/>
          <w:sz w:val="24"/>
          <w:szCs w:val="24"/>
          <w:u w:val="single"/>
          <w:rtl/>
        </w:rPr>
        <w:t>__________</w:t>
      </w:r>
    </w:p>
    <w:p w:rsidR="0076259E" w:rsidRPr="00176D91" w:rsidRDefault="005847EB" w:rsidP="00176D91">
      <w:pPr>
        <w:bidi/>
        <w:spacing w:after="0" w:line="360" w:lineRule="auto"/>
        <w:jc w:val="both"/>
        <w:rPr>
          <w:rFonts w:cs="David"/>
          <w:b/>
          <w:bCs/>
          <w:sz w:val="24"/>
          <w:szCs w:val="24"/>
          <w:u w:val="single"/>
          <w:rtl/>
        </w:rPr>
      </w:pPr>
      <w:r w:rsidRPr="00176D91">
        <w:rPr>
          <w:rFonts w:cs="David"/>
          <w:b/>
          <w:bCs/>
          <w:sz w:val="24"/>
          <w:szCs w:val="24"/>
          <w:u w:val="single"/>
          <w:rtl/>
        </w:rPr>
        <w:t>בשיבתו כבית משפט גבוה לצדק</w:t>
      </w:r>
    </w:p>
    <w:p w:rsidR="002F3DC3" w:rsidRPr="00176D91" w:rsidRDefault="002F3DC3" w:rsidP="00176D91">
      <w:pPr>
        <w:bidi/>
        <w:spacing w:after="0" w:line="360" w:lineRule="auto"/>
        <w:jc w:val="both"/>
        <w:rPr>
          <w:rFonts w:cs="David"/>
          <w:b/>
          <w:bCs/>
          <w:sz w:val="24"/>
          <w:szCs w:val="24"/>
          <w:u w:val="single"/>
          <w:rtl/>
        </w:rPr>
      </w:pPr>
    </w:p>
    <w:p w:rsidR="0076259E" w:rsidRPr="00176D91" w:rsidRDefault="0076259E" w:rsidP="00176D91">
      <w:pPr>
        <w:bidi/>
        <w:spacing w:after="0" w:line="360" w:lineRule="auto"/>
        <w:jc w:val="both"/>
        <w:rPr>
          <w:rFonts w:cs="David"/>
          <w:sz w:val="24"/>
          <w:szCs w:val="24"/>
          <w:rtl/>
        </w:rPr>
      </w:pPr>
    </w:p>
    <w:p w:rsidR="00FC0A9D" w:rsidRDefault="00D26028" w:rsidP="00FC0A9D">
      <w:pPr>
        <w:tabs>
          <w:tab w:val="left" w:pos="2130"/>
        </w:tabs>
        <w:bidi/>
        <w:contextualSpacing/>
        <w:jc w:val="both"/>
        <w:rPr>
          <w:rFonts w:cs="David"/>
          <w:b/>
          <w:bCs/>
          <w:sz w:val="24"/>
          <w:szCs w:val="24"/>
          <w:rtl/>
        </w:rPr>
      </w:pPr>
      <w:r w:rsidRPr="00117AD6">
        <w:rPr>
          <w:rFonts w:cs="David"/>
          <w:b/>
          <w:bCs/>
          <w:sz w:val="24"/>
          <w:szCs w:val="24"/>
          <w:rtl/>
        </w:rPr>
        <w:t>העותר</w:t>
      </w:r>
      <w:r w:rsidR="005847EB" w:rsidRPr="00117AD6">
        <w:rPr>
          <w:rFonts w:cs="David"/>
          <w:b/>
          <w:bCs/>
          <w:sz w:val="24"/>
          <w:szCs w:val="24"/>
          <w:rtl/>
        </w:rPr>
        <w:t xml:space="preserve">:       </w:t>
      </w:r>
      <w:r w:rsidR="005847EB" w:rsidRPr="00117AD6">
        <w:rPr>
          <w:rFonts w:cs="David"/>
          <w:b/>
          <w:bCs/>
          <w:sz w:val="24"/>
          <w:szCs w:val="24"/>
          <w:rtl/>
        </w:rPr>
        <w:tab/>
      </w:r>
      <w:r w:rsidR="00FC0A9D">
        <w:rPr>
          <w:rFonts w:cs="David" w:hint="cs"/>
          <w:b/>
          <w:bCs/>
          <w:sz w:val="24"/>
          <w:szCs w:val="24"/>
          <w:rtl/>
        </w:rPr>
        <w:t xml:space="preserve">ידידיה טליה ת.ז. </w:t>
      </w:r>
      <w:r w:rsidR="00C72BAA">
        <w:rPr>
          <w:rFonts w:cs="David" w:hint="cs"/>
          <w:b/>
          <w:bCs/>
          <w:sz w:val="24"/>
          <w:szCs w:val="24"/>
          <w:rtl/>
        </w:rPr>
        <w:t>316057959</w:t>
      </w:r>
    </w:p>
    <w:p w:rsidR="00D52A56" w:rsidRDefault="00FC0A9D" w:rsidP="00FC0A9D">
      <w:pPr>
        <w:tabs>
          <w:tab w:val="left" w:pos="2130"/>
        </w:tabs>
        <w:bidi/>
        <w:contextualSpacing/>
        <w:jc w:val="both"/>
        <w:rPr>
          <w:rFonts w:cs="David"/>
          <w:b/>
          <w:bCs/>
          <w:sz w:val="24"/>
          <w:szCs w:val="24"/>
          <w:rtl/>
        </w:rPr>
      </w:pPr>
      <w:r>
        <w:rPr>
          <w:rFonts w:cs="David" w:hint="cs"/>
          <w:b/>
          <w:bCs/>
          <w:sz w:val="24"/>
          <w:szCs w:val="24"/>
          <w:rtl/>
        </w:rPr>
        <w:tab/>
        <w:t>בצלאל טליה ת.ז.</w:t>
      </w:r>
      <w:r w:rsidR="00D52A56">
        <w:rPr>
          <w:rFonts w:cs="David" w:hint="cs"/>
          <w:b/>
          <w:bCs/>
          <w:sz w:val="24"/>
          <w:szCs w:val="24"/>
          <w:rtl/>
        </w:rPr>
        <w:t xml:space="preserve"> </w:t>
      </w:r>
      <w:r w:rsidR="00C72BAA">
        <w:rPr>
          <w:rFonts w:cs="David" w:hint="cs"/>
          <w:b/>
          <w:bCs/>
          <w:sz w:val="24"/>
          <w:szCs w:val="24"/>
          <w:rtl/>
        </w:rPr>
        <w:t>307834150</w:t>
      </w:r>
    </w:p>
    <w:p w:rsidR="00B50E2B" w:rsidRDefault="00D52A56" w:rsidP="00C72BAA">
      <w:pPr>
        <w:tabs>
          <w:tab w:val="left" w:pos="2069"/>
        </w:tabs>
        <w:bidi/>
        <w:contextualSpacing/>
        <w:jc w:val="both"/>
        <w:rPr>
          <w:rFonts w:cs="David"/>
          <w:sz w:val="24"/>
          <w:szCs w:val="24"/>
          <w:rtl/>
        </w:rPr>
      </w:pPr>
      <w:r>
        <w:rPr>
          <w:rFonts w:cs="David" w:hint="cs"/>
          <w:sz w:val="24"/>
          <w:szCs w:val="24"/>
          <w:rtl/>
        </w:rPr>
        <w:tab/>
      </w:r>
      <w:r>
        <w:rPr>
          <w:rFonts w:cs="David" w:hint="cs"/>
          <w:sz w:val="24"/>
          <w:szCs w:val="24"/>
          <w:rtl/>
        </w:rPr>
        <w:tab/>
      </w:r>
      <w:r w:rsidR="005847EB" w:rsidRPr="00296329">
        <w:rPr>
          <w:rFonts w:cs="David"/>
          <w:sz w:val="24"/>
          <w:szCs w:val="24"/>
          <w:rtl/>
        </w:rPr>
        <w:t xml:space="preserve">באמצעות </w:t>
      </w:r>
      <w:r w:rsidR="00D84562" w:rsidRPr="00296329">
        <w:rPr>
          <w:rFonts w:cs="David"/>
          <w:sz w:val="24"/>
          <w:szCs w:val="24"/>
          <w:rtl/>
        </w:rPr>
        <w:t xml:space="preserve">עו"ד בועז ארזי </w:t>
      </w:r>
    </w:p>
    <w:p w:rsidR="00032B3B" w:rsidRPr="00296329" w:rsidRDefault="00B50E2B" w:rsidP="00B50E2B">
      <w:pPr>
        <w:tabs>
          <w:tab w:val="left" w:pos="2069"/>
        </w:tabs>
        <w:bidi/>
        <w:contextualSpacing/>
        <w:jc w:val="both"/>
        <w:rPr>
          <w:rFonts w:cs="David"/>
          <w:sz w:val="24"/>
          <w:szCs w:val="24"/>
          <w:rtl/>
        </w:rPr>
      </w:pPr>
      <w:r>
        <w:rPr>
          <w:rFonts w:cs="David" w:hint="cs"/>
          <w:sz w:val="24"/>
          <w:szCs w:val="24"/>
          <w:rtl/>
        </w:rPr>
        <w:tab/>
      </w:r>
      <w:r>
        <w:rPr>
          <w:rFonts w:cs="David" w:hint="cs"/>
          <w:sz w:val="24"/>
          <w:szCs w:val="24"/>
          <w:rtl/>
        </w:rPr>
        <w:tab/>
        <w:t>מתנועת רגבים</w:t>
      </w:r>
      <w:r w:rsidR="00032B3B">
        <w:rPr>
          <w:rFonts w:cs="David" w:hint="cs"/>
          <w:sz w:val="24"/>
          <w:szCs w:val="24"/>
          <w:rtl/>
        </w:rPr>
        <w:tab/>
      </w:r>
      <w:r w:rsidR="00032B3B">
        <w:rPr>
          <w:rFonts w:cs="David" w:hint="cs"/>
          <w:sz w:val="24"/>
          <w:szCs w:val="24"/>
          <w:rtl/>
        </w:rPr>
        <w:tab/>
        <w:t>.</w:t>
      </w:r>
    </w:p>
    <w:p w:rsidR="0076259E" w:rsidRPr="00296329" w:rsidRDefault="00D52A56" w:rsidP="00D52A56">
      <w:pPr>
        <w:tabs>
          <w:tab w:val="left" w:pos="2069"/>
        </w:tabs>
        <w:bidi/>
        <w:contextualSpacing/>
        <w:jc w:val="both"/>
        <w:rPr>
          <w:rFonts w:cs="David"/>
          <w:sz w:val="24"/>
          <w:szCs w:val="24"/>
        </w:rPr>
      </w:pPr>
      <w:r>
        <w:rPr>
          <w:rFonts w:cs="David" w:hint="cs"/>
          <w:sz w:val="24"/>
          <w:szCs w:val="24"/>
          <w:rtl/>
        </w:rPr>
        <w:tab/>
      </w:r>
      <w:r>
        <w:rPr>
          <w:rFonts w:cs="David" w:hint="cs"/>
          <w:sz w:val="24"/>
          <w:szCs w:val="24"/>
          <w:rtl/>
        </w:rPr>
        <w:tab/>
      </w:r>
      <w:r w:rsidR="005847EB" w:rsidRPr="00296329">
        <w:rPr>
          <w:rFonts w:cs="David"/>
          <w:sz w:val="24"/>
          <w:szCs w:val="24"/>
          <w:rtl/>
        </w:rPr>
        <w:t xml:space="preserve">ת.ד. </w:t>
      </w:r>
      <w:r w:rsidR="00BE2441" w:rsidRPr="00296329">
        <w:rPr>
          <w:rFonts w:cs="David" w:hint="cs"/>
          <w:sz w:val="24"/>
          <w:szCs w:val="24"/>
          <w:rtl/>
        </w:rPr>
        <w:t>44439</w:t>
      </w:r>
      <w:r w:rsidR="005847EB" w:rsidRPr="00296329">
        <w:rPr>
          <w:rFonts w:cs="David"/>
          <w:sz w:val="24"/>
          <w:szCs w:val="24"/>
          <w:rtl/>
        </w:rPr>
        <w:t xml:space="preserve"> ירושלים, מיקוד </w:t>
      </w:r>
      <w:r w:rsidR="00BE2441" w:rsidRPr="00296329">
        <w:rPr>
          <w:rFonts w:cs="David" w:hint="cs"/>
          <w:sz w:val="24"/>
          <w:szCs w:val="24"/>
          <w:rtl/>
        </w:rPr>
        <w:t>91443</w:t>
      </w:r>
      <w:r w:rsidR="00E1394E" w:rsidRPr="00296329">
        <w:rPr>
          <w:rFonts w:cs="David" w:hint="cs"/>
          <w:sz w:val="24"/>
          <w:szCs w:val="24"/>
          <w:rtl/>
        </w:rPr>
        <w:t>02</w:t>
      </w:r>
    </w:p>
    <w:p w:rsidR="0076259E" w:rsidRPr="00296329" w:rsidRDefault="00D52A56" w:rsidP="00D52A56">
      <w:pPr>
        <w:tabs>
          <w:tab w:val="left" w:pos="2069"/>
        </w:tabs>
        <w:bidi/>
        <w:contextualSpacing/>
        <w:jc w:val="both"/>
        <w:rPr>
          <w:rFonts w:cs="David"/>
          <w:sz w:val="24"/>
          <w:szCs w:val="24"/>
        </w:rPr>
      </w:pPr>
      <w:r>
        <w:rPr>
          <w:rFonts w:cs="David" w:hint="cs"/>
          <w:sz w:val="24"/>
          <w:szCs w:val="24"/>
          <w:rtl/>
        </w:rPr>
        <w:tab/>
      </w:r>
      <w:r>
        <w:rPr>
          <w:rFonts w:cs="David" w:hint="cs"/>
          <w:sz w:val="24"/>
          <w:szCs w:val="24"/>
          <w:rtl/>
        </w:rPr>
        <w:tab/>
      </w:r>
      <w:r w:rsidR="005847EB" w:rsidRPr="00296329">
        <w:rPr>
          <w:rFonts w:cs="David"/>
          <w:sz w:val="24"/>
          <w:szCs w:val="24"/>
          <w:rtl/>
        </w:rPr>
        <w:t xml:space="preserve">טל: </w:t>
      </w:r>
      <w:r w:rsidR="00232AA7" w:rsidRPr="00296329">
        <w:rPr>
          <w:rFonts w:cs="David" w:hint="cs"/>
          <w:sz w:val="24"/>
          <w:szCs w:val="24"/>
          <w:rtl/>
        </w:rPr>
        <w:t>02-6560303</w:t>
      </w:r>
      <w:r w:rsidR="005847EB" w:rsidRPr="00296329">
        <w:rPr>
          <w:rFonts w:cs="David"/>
          <w:sz w:val="24"/>
          <w:szCs w:val="24"/>
          <w:rtl/>
        </w:rPr>
        <w:t xml:space="preserve">, פקס: </w:t>
      </w:r>
      <w:r w:rsidR="00232AA7" w:rsidRPr="00296329">
        <w:rPr>
          <w:rFonts w:cs="David" w:hint="cs"/>
          <w:sz w:val="24"/>
          <w:szCs w:val="24"/>
          <w:rtl/>
        </w:rPr>
        <w:t>02-6560363</w:t>
      </w:r>
      <w:r w:rsidR="00032B3B">
        <w:rPr>
          <w:rFonts w:cs="David" w:hint="cs"/>
          <w:sz w:val="24"/>
          <w:szCs w:val="24"/>
          <w:rtl/>
        </w:rPr>
        <w:t>.</w:t>
      </w:r>
    </w:p>
    <w:p w:rsidR="0076259E" w:rsidRPr="00176D91" w:rsidRDefault="005847EB" w:rsidP="00176D91">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76259E" w:rsidRPr="00176D91" w:rsidRDefault="005847EB" w:rsidP="00176D91">
      <w:pPr>
        <w:tabs>
          <w:tab w:val="left" w:pos="1280"/>
        </w:tabs>
        <w:bidi/>
        <w:spacing w:after="0" w:line="360" w:lineRule="auto"/>
        <w:ind w:left="1989" w:hanging="1985"/>
        <w:jc w:val="center"/>
        <w:rPr>
          <w:rFonts w:cs="David"/>
          <w:sz w:val="24"/>
          <w:szCs w:val="24"/>
          <w:rtl/>
        </w:rPr>
      </w:pPr>
      <w:r w:rsidRPr="00176D91">
        <w:rPr>
          <w:rFonts w:cs="David"/>
          <w:sz w:val="24"/>
          <w:szCs w:val="24"/>
          <w:rtl/>
        </w:rPr>
        <w:t>--  נ ג ד  --</w:t>
      </w:r>
    </w:p>
    <w:p w:rsidR="0076259E" w:rsidRPr="00176D91" w:rsidRDefault="005847EB" w:rsidP="00296329">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296329" w:rsidRDefault="00296329" w:rsidP="00D52A56">
      <w:pPr>
        <w:tabs>
          <w:tab w:val="left" w:pos="2069"/>
        </w:tabs>
        <w:bidi/>
        <w:contextualSpacing/>
        <w:jc w:val="both"/>
        <w:rPr>
          <w:rFonts w:cs="David"/>
          <w:b/>
          <w:bCs/>
          <w:sz w:val="24"/>
          <w:szCs w:val="24"/>
          <w:rtl/>
        </w:rPr>
      </w:pPr>
      <w:r>
        <w:rPr>
          <w:rFonts w:cs="David"/>
          <w:b/>
          <w:bCs/>
          <w:sz w:val="24"/>
          <w:szCs w:val="24"/>
          <w:rtl/>
        </w:rPr>
        <w:t>המשיבים:</w:t>
      </w:r>
      <w:r>
        <w:rPr>
          <w:rFonts w:cs="David" w:hint="cs"/>
          <w:b/>
          <w:bCs/>
          <w:sz w:val="24"/>
          <w:szCs w:val="24"/>
          <w:rtl/>
        </w:rPr>
        <w:t xml:space="preserve">                   </w:t>
      </w:r>
      <w:r>
        <w:rPr>
          <w:rFonts w:cs="David"/>
          <w:b/>
          <w:bCs/>
          <w:sz w:val="24"/>
          <w:szCs w:val="24"/>
          <w:rtl/>
        </w:rPr>
        <w:tab/>
      </w:r>
      <w:r>
        <w:rPr>
          <w:rFonts w:cs="David" w:hint="cs"/>
          <w:b/>
          <w:bCs/>
          <w:sz w:val="24"/>
          <w:szCs w:val="24"/>
          <w:rtl/>
        </w:rPr>
        <w:t>1.</w:t>
      </w:r>
      <w:r>
        <w:rPr>
          <w:rFonts w:cs="David" w:hint="cs"/>
          <w:b/>
          <w:bCs/>
          <w:sz w:val="24"/>
          <w:szCs w:val="24"/>
          <w:rtl/>
        </w:rPr>
        <w:tab/>
      </w:r>
      <w:r>
        <w:rPr>
          <w:rFonts w:cs="David"/>
          <w:b/>
          <w:bCs/>
          <w:sz w:val="24"/>
          <w:szCs w:val="24"/>
          <w:rtl/>
        </w:rPr>
        <w:t>שר הביטחון</w:t>
      </w:r>
    </w:p>
    <w:p w:rsidR="00296329" w:rsidRDefault="00296329" w:rsidP="00D52A56">
      <w:pPr>
        <w:tabs>
          <w:tab w:val="left" w:pos="2069"/>
        </w:tabs>
        <w:bidi/>
        <w:ind w:firstLine="720"/>
        <w:contextualSpacing/>
        <w:jc w:val="both"/>
        <w:rPr>
          <w:rFonts w:cs="David"/>
          <w:b/>
          <w:bCs/>
          <w:sz w:val="24"/>
          <w:szCs w:val="24"/>
          <w:rtl/>
        </w:rPr>
      </w:pPr>
      <w:r>
        <w:rPr>
          <w:rFonts w:cs="David" w:hint="cs"/>
          <w:b/>
          <w:bCs/>
          <w:sz w:val="24"/>
          <w:szCs w:val="24"/>
          <w:rtl/>
        </w:rPr>
        <w:tab/>
        <w:t>2.</w:t>
      </w:r>
      <w:r>
        <w:rPr>
          <w:rFonts w:cs="David" w:hint="cs"/>
          <w:b/>
          <w:bCs/>
          <w:sz w:val="24"/>
          <w:szCs w:val="24"/>
          <w:rtl/>
        </w:rPr>
        <w:tab/>
      </w:r>
      <w:r w:rsidR="00D52A56">
        <w:rPr>
          <w:rFonts w:cs="David"/>
          <w:b/>
          <w:bCs/>
          <w:sz w:val="24"/>
          <w:szCs w:val="24"/>
          <w:rtl/>
        </w:rPr>
        <w:t>מפקד פיקוד המרכז</w:t>
      </w:r>
      <w:r>
        <w:rPr>
          <w:rFonts w:cs="David" w:hint="cs"/>
          <w:b/>
          <w:bCs/>
          <w:sz w:val="24"/>
          <w:szCs w:val="24"/>
          <w:rtl/>
        </w:rPr>
        <w:tab/>
      </w:r>
    </w:p>
    <w:p w:rsidR="00296329" w:rsidRDefault="00296329" w:rsidP="00D52A56">
      <w:pPr>
        <w:tabs>
          <w:tab w:val="left" w:pos="2069"/>
        </w:tabs>
        <w:bidi/>
        <w:ind w:firstLine="720"/>
        <w:contextualSpacing/>
        <w:jc w:val="both"/>
        <w:rPr>
          <w:rFonts w:cs="David"/>
          <w:sz w:val="24"/>
          <w:szCs w:val="24"/>
          <w:rtl/>
        </w:rPr>
      </w:pPr>
      <w:r>
        <w:rPr>
          <w:rFonts w:cs="David" w:hint="cs"/>
          <w:b/>
          <w:bCs/>
          <w:sz w:val="24"/>
          <w:szCs w:val="24"/>
          <w:rtl/>
        </w:rPr>
        <w:tab/>
        <w:t>3.</w:t>
      </w:r>
      <w:r>
        <w:rPr>
          <w:rFonts w:cs="David" w:hint="cs"/>
          <w:b/>
          <w:bCs/>
          <w:sz w:val="24"/>
          <w:szCs w:val="24"/>
          <w:rtl/>
        </w:rPr>
        <w:tab/>
      </w:r>
      <w:r>
        <w:rPr>
          <w:rFonts w:cs="David"/>
          <w:b/>
          <w:bCs/>
          <w:sz w:val="24"/>
          <w:szCs w:val="24"/>
          <w:rtl/>
        </w:rPr>
        <w:t>ראש המנהל האזרחי ביהודה ושומרון</w:t>
      </w:r>
      <w:r>
        <w:rPr>
          <w:rFonts w:cs="David" w:hint="cs"/>
          <w:b/>
          <w:b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sidR="00C72BAA">
        <w:rPr>
          <w:rFonts w:cs="David" w:hint="cs"/>
          <w:sz w:val="24"/>
          <w:szCs w:val="24"/>
          <w:rtl/>
        </w:rPr>
        <w:tab/>
      </w:r>
      <w:r w:rsidR="00C72BAA">
        <w:rPr>
          <w:rFonts w:cs="David" w:hint="cs"/>
          <w:sz w:val="24"/>
          <w:szCs w:val="24"/>
          <w:rtl/>
        </w:rPr>
        <w:tab/>
      </w:r>
      <w:r w:rsidR="00C72BAA">
        <w:rPr>
          <w:rFonts w:cs="David" w:hint="cs"/>
          <w:sz w:val="24"/>
          <w:szCs w:val="24"/>
          <w:rtl/>
        </w:rPr>
        <w:tab/>
      </w:r>
      <w:r>
        <w:rPr>
          <w:rFonts w:cs="David"/>
          <w:sz w:val="24"/>
          <w:szCs w:val="24"/>
          <w:rtl/>
        </w:rPr>
        <w:t>באמצעות פרקליטות המדינה, משרד המשפטים</w:t>
      </w:r>
    </w:p>
    <w:p w:rsidR="00032B3B" w:rsidRDefault="00296329" w:rsidP="00032B3B">
      <w:pPr>
        <w:tabs>
          <w:tab w:val="left" w:pos="2069"/>
        </w:tabs>
        <w:bidi/>
        <w:ind w:firstLine="720"/>
        <w:contextualSpacing/>
        <w:jc w:val="both"/>
        <w:rPr>
          <w:rFonts w:cs="David"/>
          <w:b/>
          <w:bCs/>
          <w:sz w:val="24"/>
          <w:szCs w:val="24"/>
        </w:rPr>
      </w:pPr>
      <w:r>
        <w:rPr>
          <w:rFonts w:cs="David" w:hint="cs"/>
          <w:sz w:val="24"/>
          <w:szCs w:val="24"/>
          <w:rtl/>
        </w:rPr>
        <w:tab/>
      </w:r>
      <w:r>
        <w:rPr>
          <w:rFonts w:cs="David" w:hint="cs"/>
          <w:sz w:val="24"/>
          <w:szCs w:val="24"/>
          <w:rtl/>
        </w:rPr>
        <w:tab/>
      </w:r>
      <w:r>
        <w:rPr>
          <w:rFonts w:cs="David" w:hint="cs"/>
          <w:sz w:val="24"/>
          <w:szCs w:val="24"/>
          <w:rtl/>
        </w:rPr>
        <w:tab/>
      </w:r>
      <w:r>
        <w:rPr>
          <w:rFonts w:cs="David"/>
          <w:sz w:val="24"/>
          <w:szCs w:val="24"/>
          <w:rtl/>
        </w:rPr>
        <w:t>רח</w:t>
      </w:r>
      <w:r>
        <w:rPr>
          <w:rFonts w:cs="David" w:hint="cs"/>
          <w:sz w:val="24"/>
          <w:szCs w:val="24"/>
          <w:rtl/>
        </w:rPr>
        <w:t>וב</w:t>
      </w:r>
      <w:r>
        <w:rPr>
          <w:rFonts w:cs="David"/>
          <w:sz w:val="24"/>
          <w:szCs w:val="24"/>
          <w:rtl/>
        </w:rPr>
        <w:t xml:space="preserve"> סלאח א-דין </w:t>
      </w:r>
      <w:r>
        <w:rPr>
          <w:rFonts w:cs="David" w:hint="cs"/>
          <w:sz w:val="24"/>
          <w:szCs w:val="24"/>
          <w:rtl/>
        </w:rPr>
        <w:t>29</w:t>
      </w:r>
      <w:r>
        <w:rPr>
          <w:rFonts w:cs="David"/>
          <w:sz w:val="24"/>
          <w:szCs w:val="24"/>
          <w:rtl/>
        </w:rPr>
        <w:t>, ירושלי</w:t>
      </w:r>
      <w:r>
        <w:rPr>
          <w:rFonts w:cs="David" w:hint="cs"/>
          <w:sz w:val="24"/>
          <w:szCs w:val="24"/>
          <w:rtl/>
        </w:rPr>
        <w:t>ם</w:t>
      </w:r>
      <w:r w:rsidR="00032B3B">
        <w:rPr>
          <w:rFonts w:cs="David" w:hint="cs"/>
          <w:b/>
          <w:bCs/>
          <w:sz w:val="24"/>
          <w:szCs w:val="24"/>
          <w:rtl/>
        </w:rPr>
        <w:t>.</w:t>
      </w:r>
    </w:p>
    <w:p w:rsidR="00E01BCF" w:rsidRDefault="00E01BCF" w:rsidP="00E01BCF">
      <w:pPr>
        <w:tabs>
          <w:tab w:val="left" w:pos="1280"/>
        </w:tabs>
        <w:bidi/>
        <w:spacing w:after="0" w:line="360" w:lineRule="auto"/>
        <w:ind w:left="1989" w:hanging="1985"/>
        <w:jc w:val="center"/>
        <w:rPr>
          <w:rFonts w:cs="David"/>
          <w:b/>
          <w:bCs/>
          <w:sz w:val="40"/>
          <w:szCs w:val="40"/>
          <w:u w:val="single"/>
          <w:rtl/>
        </w:rPr>
      </w:pPr>
    </w:p>
    <w:p w:rsidR="0076259E" w:rsidRPr="00176D91" w:rsidRDefault="005847EB" w:rsidP="00E01BCF">
      <w:pPr>
        <w:tabs>
          <w:tab w:val="left" w:pos="1280"/>
        </w:tabs>
        <w:bidi/>
        <w:spacing w:after="0" w:line="360" w:lineRule="auto"/>
        <w:ind w:left="1989" w:hanging="1985"/>
        <w:jc w:val="center"/>
        <w:rPr>
          <w:rFonts w:cs="David"/>
          <w:b/>
          <w:bCs/>
          <w:sz w:val="40"/>
          <w:szCs w:val="40"/>
          <w:u w:val="single"/>
          <w:rtl/>
        </w:rPr>
      </w:pPr>
      <w:r w:rsidRPr="00176D91">
        <w:rPr>
          <w:rFonts w:cs="David"/>
          <w:b/>
          <w:bCs/>
          <w:sz w:val="40"/>
          <w:szCs w:val="40"/>
          <w:u w:val="single"/>
          <w:rtl/>
        </w:rPr>
        <w:t>עתירה</w:t>
      </w:r>
      <w:r w:rsidR="000B2250">
        <w:rPr>
          <w:rFonts w:cs="David" w:hint="cs"/>
          <w:b/>
          <w:bCs/>
          <w:sz w:val="40"/>
          <w:szCs w:val="40"/>
          <w:u w:val="single"/>
          <w:rtl/>
        </w:rPr>
        <w:t xml:space="preserve"> </w:t>
      </w:r>
      <w:r w:rsidR="0083149C">
        <w:rPr>
          <w:rFonts w:cs="David" w:hint="cs"/>
          <w:b/>
          <w:bCs/>
          <w:sz w:val="40"/>
          <w:szCs w:val="40"/>
          <w:u w:val="single"/>
          <w:rtl/>
        </w:rPr>
        <w:t xml:space="preserve">דחופה </w:t>
      </w:r>
      <w:r w:rsidR="00AF6F39" w:rsidRPr="00176D91">
        <w:rPr>
          <w:rFonts w:cs="David"/>
          <w:b/>
          <w:bCs/>
          <w:sz w:val="40"/>
          <w:szCs w:val="40"/>
          <w:u w:val="single"/>
          <w:rtl/>
        </w:rPr>
        <w:t xml:space="preserve">לצו </w:t>
      </w:r>
      <w:r w:rsidR="008E44D4">
        <w:rPr>
          <w:rFonts w:cs="David" w:hint="cs"/>
          <w:b/>
          <w:bCs/>
          <w:sz w:val="40"/>
          <w:szCs w:val="40"/>
          <w:u w:val="single"/>
          <w:rtl/>
        </w:rPr>
        <w:t xml:space="preserve">ארעי, צו ביניים וצו </w:t>
      </w:r>
      <w:r w:rsidR="00AF6F39" w:rsidRPr="00176D91">
        <w:rPr>
          <w:rFonts w:cs="David"/>
          <w:b/>
          <w:bCs/>
          <w:sz w:val="40"/>
          <w:szCs w:val="40"/>
          <w:u w:val="single"/>
          <w:rtl/>
        </w:rPr>
        <w:t>על תנאי</w:t>
      </w:r>
    </w:p>
    <w:p w:rsidR="00032B3B" w:rsidRDefault="00232AA7" w:rsidP="002C1574">
      <w:pPr>
        <w:bidi/>
        <w:spacing w:line="360" w:lineRule="auto"/>
        <w:jc w:val="both"/>
        <w:rPr>
          <w:rFonts w:cs="David"/>
          <w:b/>
          <w:bCs/>
          <w:sz w:val="24"/>
          <w:szCs w:val="24"/>
          <w:rtl/>
        </w:rPr>
      </w:pPr>
      <w:r w:rsidRPr="00176D91">
        <w:rPr>
          <w:rFonts w:cs="David" w:hint="cs"/>
          <w:b/>
          <w:bCs/>
          <w:sz w:val="24"/>
          <w:szCs w:val="24"/>
          <w:rtl/>
        </w:rPr>
        <w:t>זוהי</w:t>
      </w:r>
      <w:r w:rsidR="000B2250">
        <w:rPr>
          <w:rFonts w:cs="David" w:hint="cs"/>
          <w:b/>
          <w:bCs/>
          <w:sz w:val="24"/>
          <w:szCs w:val="24"/>
          <w:rtl/>
        </w:rPr>
        <w:t xml:space="preserve"> </w:t>
      </w:r>
      <w:r w:rsidRPr="00176D91">
        <w:rPr>
          <w:rFonts w:cs="David" w:hint="cs"/>
          <w:b/>
          <w:bCs/>
          <w:sz w:val="24"/>
          <w:szCs w:val="24"/>
          <w:rtl/>
        </w:rPr>
        <w:t>עתירה</w:t>
      </w:r>
      <w:r w:rsidR="000B2250">
        <w:rPr>
          <w:rFonts w:cs="David" w:hint="cs"/>
          <w:b/>
          <w:bCs/>
          <w:sz w:val="24"/>
          <w:szCs w:val="24"/>
          <w:rtl/>
        </w:rPr>
        <w:t xml:space="preserve"> </w:t>
      </w:r>
      <w:r w:rsidRPr="00176D91">
        <w:rPr>
          <w:rFonts w:cs="David" w:hint="cs"/>
          <w:b/>
          <w:bCs/>
          <w:sz w:val="24"/>
          <w:szCs w:val="24"/>
          <w:rtl/>
        </w:rPr>
        <w:t>למתן</w:t>
      </w:r>
      <w:r w:rsidR="000B2250">
        <w:rPr>
          <w:rFonts w:cs="David" w:hint="cs"/>
          <w:b/>
          <w:bCs/>
          <w:sz w:val="24"/>
          <w:szCs w:val="24"/>
          <w:u w:val="single"/>
          <w:rtl/>
        </w:rPr>
        <w:t xml:space="preserve"> </w:t>
      </w:r>
      <w:r w:rsidRPr="00176D91">
        <w:rPr>
          <w:rFonts w:cs="David" w:hint="cs"/>
          <w:b/>
          <w:bCs/>
          <w:sz w:val="24"/>
          <w:szCs w:val="24"/>
          <w:u w:val="single"/>
          <w:rtl/>
        </w:rPr>
        <w:t>צו</w:t>
      </w:r>
      <w:r w:rsidR="000B2250">
        <w:rPr>
          <w:rFonts w:cs="David" w:hint="cs"/>
          <w:b/>
          <w:bCs/>
          <w:sz w:val="24"/>
          <w:szCs w:val="24"/>
          <w:u w:val="single"/>
          <w:rtl/>
        </w:rPr>
        <w:t xml:space="preserve"> </w:t>
      </w:r>
      <w:r w:rsidRPr="00176D91">
        <w:rPr>
          <w:rFonts w:cs="David" w:hint="cs"/>
          <w:b/>
          <w:bCs/>
          <w:sz w:val="24"/>
          <w:szCs w:val="24"/>
          <w:u w:val="single"/>
          <w:rtl/>
        </w:rPr>
        <w:t>על</w:t>
      </w:r>
      <w:r w:rsidR="000B2250">
        <w:rPr>
          <w:rFonts w:cs="David" w:hint="cs"/>
          <w:b/>
          <w:bCs/>
          <w:sz w:val="24"/>
          <w:szCs w:val="24"/>
          <w:u w:val="single"/>
          <w:rtl/>
        </w:rPr>
        <w:t xml:space="preserve"> </w:t>
      </w:r>
      <w:r w:rsidRPr="00176D91">
        <w:rPr>
          <w:rFonts w:cs="David" w:hint="cs"/>
          <w:b/>
          <w:bCs/>
          <w:sz w:val="24"/>
          <w:szCs w:val="24"/>
          <w:u w:val="single"/>
          <w:rtl/>
        </w:rPr>
        <w:t>תנאי</w:t>
      </w:r>
      <w:r w:rsidR="000B2250" w:rsidRPr="00296329">
        <w:rPr>
          <w:rFonts w:cs="David" w:hint="cs"/>
          <w:b/>
          <w:bCs/>
          <w:sz w:val="24"/>
          <w:szCs w:val="24"/>
          <w:rtl/>
        </w:rPr>
        <w:t xml:space="preserve"> </w:t>
      </w:r>
      <w:r w:rsidRPr="00176D91">
        <w:rPr>
          <w:rFonts w:cs="David" w:hint="cs"/>
          <w:b/>
          <w:bCs/>
          <w:sz w:val="24"/>
          <w:szCs w:val="24"/>
          <w:rtl/>
        </w:rPr>
        <w:t>לפי</w:t>
      </w:r>
      <w:r w:rsidR="008E44D4">
        <w:rPr>
          <w:rFonts w:cs="David" w:hint="cs"/>
          <w:b/>
          <w:bCs/>
          <w:sz w:val="24"/>
          <w:szCs w:val="24"/>
          <w:rtl/>
        </w:rPr>
        <w:t>ו</w:t>
      </w:r>
      <w:r w:rsidR="000B2250">
        <w:rPr>
          <w:rFonts w:cs="David" w:hint="cs"/>
          <w:b/>
          <w:bCs/>
          <w:sz w:val="24"/>
          <w:szCs w:val="24"/>
          <w:rtl/>
        </w:rPr>
        <w:t xml:space="preserve"> </w:t>
      </w:r>
      <w:r w:rsidRPr="00176D91">
        <w:rPr>
          <w:rFonts w:cs="David" w:hint="cs"/>
          <w:b/>
          <w:bCs/>
          <w:sz w:val="24"/>
          <w:szCs w:val="24"/>
          <w:rtl/>
        </w:rPr>
        <w:t>מתבקש</w:t>
      </w:r>
      <w:r w:rsidR="000B2250">
        <w:rPr>
          <w:rFonts w:cs="David" w:hint="cs"/>
          <w:b/>
          <w:bCs/>
          <w:sz w:val="24"/>
          <w:szCs w:val="24"/>
          <w:rtl/>
        </w:rPr>
        <w:t xml:space="preserve"> </w:t>
      </w:r>
      <w:r w:rsidRPr="00176D91">
        <w:rPr>
          <w:rFonts w:cs="David" w:hint="cs"/>
          <w:b/>
          <w:bCs/>
          <w:sz w:val="24"/>
          <w:szCs w:val="24"/>
          <w:rtl/>
        </w:rPr>
        <w:t>בית</w:t>
      </w:r>
      <w:r w:rsidR="000B2250">
        <w:rPr>
          <w:rFonts w:cs="David" w:hint="cs"/>
          <w:b/>
          <w:bCs/>
          <w:sz w:val="24"/>
          <w:szCs w:val="24"/>
          <w:rtl/>
        </w:rPr>
        <w:t xml:space="preserve"> </w:t>
      </w:r>
      <w:r w:rsidRPr="00176D91">
        <w:rPr>
          <w:rFonts w:cs="David" w:hint="cs"/>
          <w:b/>
          <w:bCs/>
          <w:sz w:val="24"/>
          <w:szCs w:val="24"/>
          <w:rtl/>
        </w:rPr>
        <w:t>המשפט</w:t>
      </w:r>
      <w:r w:rsidR="000B2250">
        <w:rPr>
          <w:rFonts w:cs="David" w:hint="cs"/>
          <w:b/>
          <w:bCs/>
          <w:sz w:val="24"/>
          <w:szCs w:val="24"/>
          <w:rtl/>
        </w:rPr>
        <w:t xml:space="preserve"> </w:t>
      </w:r>
      <w:r w:rsidRPr="00176D91">
        <w:rPr>
          <w:rFonts w:cs="David" w:hint="cs"/>
          <w:b/>
          <w:bCs/>
          <w:sz w:val="24"/>
          <w:szCs w:val="24"/>
          <w:rtl/>
        </w:rPr>
        <w:t>הנכבד</w:t>
      </w:r>
      <w:r w:rsidR="000B2250">
        <w:rPr>
          <w:rFonts w:cs="David" w:hint="cs"/>
          <w:b/>
          <w:bCs/>
          <w:sz w:val="24"/>
          <w:szCs w:val="24"/>
          <w:rtl/>
        </w:rPr>
        <w:t xml:space="preserve"> </w:t>
      </w:r>
      <w:r w:rsidRPr="00176D91">
        <w:rPr>
          <w:rFonts w:cs="David" w:hint="cs"/>
          <w:b/>
          <w:bCs/>
          <w:sz w:val="24"/>
          <w:szCs w:val="24"/>
          <w:rtl/>
        </w:rPr>
        <w:t>להורות</w:t>
      </w:r>
      <w:r w:rsidR="000B2250">
        <w:rPr>
          <w:rFonts w:cs="David" w:hint="cs"/>
          <w:b/>
          <w:bCs/>
          <w:sz w:val="24"/>
          <w:szCs w:val="24"/>
          <w:rtl/>
        </w:rPr>
        <w:t xml:space="preserve"> </w:t>
      </w:r>
      <w:r w:rsidRPr="00176D91">
        <w:rPr>
          <w:rFonts w:cs="David" w:hint="cs"/>
          <w:b/>
          <w:bCs/>
          <w:sz w:val="24"/>
          <w:szCs w:val="24"/>
          <w:rtl/>
        </w:rPr>
        <w:t>למשיבים</w:t>
      </w:r>
      <w:r w:rsidR="002C1574">
        <w:rPr>
          <w:rFonts w:cs="David" w:hint="cs"/>
          <w:b/>
          <w:bCs/>
          <w:sz w:val="24"/>
          <w:szCs w:val="24"/>
          <w:rtl/>
        </w:rPr>
        <w:t xml:space="preserve"> </w:t>
      </w:r>
      <w:r w:rsidRPr="00176D91">
        <w:rPr>
          <w:rFonts w:cs="David" w:hint="cs"/>
          <w:b/>
          <w:bCs/>
          <w:sz w:val="24"/>
          <w:szCs w:val="24"/>
          <w:rtl/>
        </w:rPr>
        <w:t>לבוא</w:t>
      </w:r>
      <w:r w:rsidR="000B2250">
        <w:rPr>
          <w:rFonts w:cs="David" w:hint="cs"/>
          <w:b/>
          <w:bCs/>
          <w:sz w:val="24"/>
          <w:szCs w:val="24"/>
          <w:rtl/>
        </w:rPr>
        <w:t xml:space="preserve"> </w:t>
      </w:r>
      <w:proofErr w:type="spellStart"/>
      <w:r w:rsidRPr="00176D91">
        <w:rPr>
          <w:rFonts w:cs="David" w:hint="cs"/>
          <w:b/>
          <w:bCs/>
          <w:sz w:val="24"/>
          <w:szCs w:val="24"/>
          <w:rtl/>
        </w:rPr>
        <w:t>וליתן</w:t>
      </w:r>
      <w:proofErr w:type="spellEnd"/>
      <w:r w:rsidR="000B2250">
        <w:rPr>
          <w:rFonts w:cs="David" w:hint="cs"/>
          <w:b/>
          <w:bCs/>
          <w:sz w:val="24"/>
          <w:szCs w:val="24"/>
          <w:rtl/>
        </w:rPr>
        <w:t xml:space="preserve"> </w:t>
      </w:r>
      <w:r w:rsidR="008E44D4">
        <w:rPr>
          <w:rFonts w:cs="David" w:hint="cs"/>
          <w:b/>
          <w:bCs/>
          <w:sz w:val="24"/>
          <w:szCs w:val="24"/>
          <w:rtl/>
        </w:rPr>
        <w:t>טעם</w:t>
      </w:r>
      <w:r w:rsidR="00032B3B">
        <w:rPr>
          <w:rFonts w:cs="David" w:hint="cs"/>
          <w:b/>
          <w:bCs/>
          <w:sz w:val="24"/>
          <w:szCs w:val="24"/>
          <w:rtl/>
        </w:rPr>
        <w:t xml:space="preserve"> </w:t>
      </w:r>
      <w:r w:rsidRPr="00032B3B">
        <w:rPr>
          <w:rFonts w:cs="David" w:hint="cs"/>
          <w:b/>
          <w:bCs/>
          <w:sz w:val="24"/>
          <w:szCs w:val="24"/>
          <w:rtl/>
        </w:rPr>
        <w:t>מדוע</w:t>
      </w:r>
      <w:r w:rsidR="000B2250" w:rsidRPr="00032B3B">
        <w:rPr>
          <w:rFonts w:cs="David" w:hint="cs"/>
          <w:b/>
          <w:bCs/>
          <w:sz w:val="24"/>
          <w:szCs w:val="24"/>
          <w:rtl/>
        </w:rPr>
        <w:t xml:space="preserve"> </w:t>
      </w:r>
      <w:r w:rsidRPr="00032B3B">
        <w:rPr>
          <w:rFonts w:cs="David" w:hint="cs"/>
          <w:b/>
          <w:bCs/>
          <w:sz w:val="24"/>
          <w:szCs w:val="24"/>
          <w:rtl/>
        </w:rPr>
        <w:t>לא</w:t>
      </w:r>
      <w:r w:rsidR="000B2250" w:rsidRPr="00032B3B">
        <w:rPr>
          <w:rFonts w:cs="David" w:hint="cs"/>
          <w:b/>
          <w:bCs/>
          <w:sz w:val="24"/>
          <w:szCs w:val="24"/>
          <w:rtl/>
        </w:rPr>
        <w:t xml:space="preserve"> </w:t>
      </w:r>
      <w:r w:rsidR="008E44D4" w:rsidRPr="00032B3B">
        <w:rPr>
          <w:rFonts w:cs="David" w:hint="cs"/>
          <w:b/>
          <w:bCs/>
          <w:sz w:val="24"/>
          <w:szCs w:val="24"/>
          <w:rtl/>
        </w:rPr>
        <w:t>י</w:t>
      </w:r>
      <w:r w:rsidR="00E01BCF" w:rsidRPr="00032B3B">
        <w:rPr>
          <w:rFonts w:cs="David" w:hint="cs"/>
          <w:b/>
          <w:bCs/>
          <w:sz w:val="24"/>
          <w:szCs w:val="24"/>
          <w:rtl/>
        </w:rPr>
        <w:t>ימנעו מ</w:t>
      </w:r>
      <w:r w:rsidR="00032B3B">
        <w:rPr>
          <w:rFonts w:cs="David" w:hint="cs"/>
          <w:b/>
          <w:bCs/>
          <w:sz w:val="24"/>
          <w:szCs w:val="24"/>
          <w:rtl/>
        </w:rPr>
        <w:t>ה</w:t>
      </w:r>
      <w:r w:rsidR="00032B3B" w:rsidRPr="00032B3B">
        <w:rPr>
          <w:rFonts w:cs="David" w:hint="cs"/>
          <w:b/>
          <w:bCs/>
          <w:sz w:val="24"/>
          <w:szCs w:val="24"/>
          <w:rtl/>
        </w:rPr>
        <w:t xml:space="preserve">כנסת </w:t>
      </w:r>
      <w:r w:rsidR="00FC0A9D">
        <w:rPr>
          <w:rFonts w:cs="David" w:hint="cs"/>
          <w:b/>
          <w:bCs/>
          <w:sz w:val="24"/>
          <w:szCs w:val="24"/>
          <w:rtl/>
        </w:rPr>
        <w:t xml:space="preserve">פלשתינאים תושבי האזור </w:t>
      </w:r>
      <w:r w:rsidR="00032B3B" w:rsidRPr="00032B3B">
        <w:rPr>
          <w:rFonts w:cs="David" w:hint="cs"/>
          <w:b/>
          <w:bCs/>
          <w:sz w:val="24"/>
          <w:szCs w:val="24"/>
          <w:rtl/>
        </w:rPr>
        <w:t xml:space="preserve">לשטח </w:t>
      </w:r>
      <w:r w:rsidR="00E01BCF" w:rsidRPr="00032B3B">
        <w:rPr>
          <w:rFonts w:cs="David" w:hint="cs"/>
          <w:b/>
          <w:bCs/>
          <w:sz w:val="24"/>
          <w:szCs w:val="24"/>
          <w:rtl/>
        </w:rPr>
        <w:t>חקלאי המוחזק</w:t>
      </w:r>
      <w:r w:rsidR="00FC0A9D">
        <w:rPr>
          <w:rFonts w:cs="David" w:hint="cs"/>
          <w:b/>
          <w:bCs/>
          <w:sz w:val="24"/>
          <w:szCs w:val="24"/>
          <w:rtl/>
        </w:rPr>
        <w:t xml:space="preserve"> מזה שנים רבות</w:t>
      </w:r>
      <w:r w:rsidR="00E01BCF" w:rsidRPr="00032B3B">
        <w:rPr>
          <w:rFonts w:cs="David" w:hint="cs"/>
          <w:b/>
          <w:bCs/>
          <w:sz w:val="24"/>
          <w:szCs w:val="24"/>
          <w:rtl/>
        </w:rPr>
        <w:t xml:space="preserve"> ע</w:t>
      </w:r>
      <w:r w:rsidR="00032B3B" w:rsidRPr="00032B3B">
        <w:rPr>
          <w:rFonts w:cs="David" w:hint="cs"/>
          <w:b/>
          <w:bCs/>
          <w:sz w:val="24"/>
          <w:szCs w:val="24"/>
          <w:rtl/>
        </w:rPr>
        <w:t>ל ידי העותר</w:t>
      </w:r>
      <w:r w:rsidR="00FC0A9D">
        <w:rPr>
          <w:rFonts w:cs="David" w:hint="cs"/>
          <w:b/>
          <w:bCs/>
          <w:sz w:val="24"/>
          <w:szCs w:val="24"/>
          <w:rtl/>
        </w:rPr>
        <w:t>ים</w:t>
      </w:r>
      <w:r w:rsidR="00E01BCF" w:rsidRPr="00032B3B">
        <w:rPr>
          <w:rFonts w:cs="David" w:hint="cs"/>
          <w:b/>
          <w:bCs/>
          <w:sz w:val="24"/>
          <w:szCs w:val="24"/>
          <w:rtl/>
        </w:rPr>
        <w:t xml:space="preserve"> ב</w:t>
      </w:r>
      <w:r w:rsidR="00032B3B" w:rsidRPr="00032B3B">
        <w:rPr>
          <w:rFonts w:cs="David" w:hint="cs"/>
          <w:b/>
          <w:bCs/>
          <w:sz w:val="24"/>
          <w:szCs w:val="24"/>
          <w:rtl/>
        </w:rPr>
        <w:t xml:space="preserve">סמוך ליישוב </w:t>
      </w:r>
      <w:r w:rsidR="00FC0A9D">
        <w:rPr>
          <w:rFonts w:cs="David" w:hint="cs"/>
          <w:b/>
          <w:bCs/>
          <w:sz w:val="24"/>
          <w:szCs w:val="24"/>
          <w:rtl/>
        </w:rPr>
        <w:t>יתיר</w:t>
      </w:r>
      <w:r w:rsidR="00E01BCF" w:rsidRPr="00032B3B">
        <w:rPr>
          <w:rFonts w:cs="David" w:hint="cs"/>
          <w:b/>
          <w:bCs/>
          <w:sz w:val="24"/>
          <w:szCs w:val="24"/>
          <w:rtl/>
        </w:rPr>
        <w:t>.</w:t>
      </w:r>
    </w:p>
    <w:p w:rsidR="00220CD4" w:rsidRPr="00E01BCF" w:rsidRDefault="00220CD4" w:rsidP="002C1574">
      <w:pPr>
        <w:bidi/>
        <w:spacing w:line="360" w:lineRule="auto"/>
        <w:jc w:val="both"/>
        <w:rPr>
          <w:rFonts w:cs="David"/>
          <w:b/>
          <w:bCs/>
          <w:sz w:val="24"/>
          <w:szCs w:val="24"/>
          <w:rtl/>
        </w:rPr>
      </w:pPr>
      <w:r w:rsidRPr="00E01BCF">
        <w:rPr>
          <w:rFonts w:cs="David" w:hint="cs"/>
          <w:b/>
          <w:bCs/>
          <w:sz w:val="24"/>
          <w:szCs w:val="24"/>
          <w:rtl/>
        </w:rPr>
        <w:t>בנוסף מתבקשים בגדרי עתירה זו צו ארעי במעמד צד אחד וצו ביניים אשר יורו למשיבים להימנע מכל פעולה הפוגעת ב</w:t>
      </w:r>
      <w:r w:rsidR="00FC0A9D">
        <w:rPr>
          <w:rFonts w:cs="David" w:hint="cs"/>
          <w:b/>
          <w:bCs/>
          <w:sz w:val="24"/>
          <w:szCs w:val="24"/>
          <w:rtl/>
        </w:rPr>
        <w:t xml:space="preserve">זכות החזקה של העותרים </w:t>
      </w:r>
      <w:r w:rsidRPr="00E01BCF">
        <w:rPr>
          <w:rFonts w:cs="David" w:hint="cs"/>
          <w:b/>
          <w:bCs/>
          <w:sz w:val="24"/>
          <w:szCs w:val="24"/>
          <w:rtl/>
        </w:rPr>
        <w:t>בשטח החקלאי הנ"ל</w:t>
      </w:r>
      <w:r w:rsidR="008F3299">
        <w:rPr>
          <w:rFonts w:cs="David" w:hint="cs"/>
          <w:b/>
          <w:bCs/>
          <w:sz w:val="24"/>
          <w:szCs w:val="24"/>
          <w:rtl/>
        </w:rPr>
        <w:t xml:space="preserve">, </w:t>
      </w:r>
      <w:r w:rsidRPr="00E01BCF">
        <w:rPr>
          <w:rFonts w:cs="David" w:hint="cs"/>
          <w:b/>
          <w:bCs/>
          <w:sz w:val="24"/>
          <w:szCs w:val="24"/>
          <w:rtl/>
        </w:rPr>
        <w:t>וזאת עד להכרעה ומתן פסק דין בעתירה זו.</w:t>
      </w:r>
    </w:p>
    <w:p w:rsidR="0076259E" w:rsidRPr="00176D91" w:rsidRDefault="005847EB" w:rsidP="00F22743">
      <w:pPr>
        <w:bidi/>
        <w:spacing w:line="360" w:lineRule="auto"/>
        <w:ind w:left="720" w:hanging="720"/>
        <w:jc w:val="both"/>
        <w:rPr>
          <w:rFonts w:cs="David"/>
          <w:b/>
          <w:bCs/>
          <w:sz w:val="28"/>
          <w:szCs w:val="28"/>
          <w:u w:val="single"/>
          <w:rtl/>
        </w:rPr>
      </w:pPr>
      <w:r w:rsidRPr="00176D91">
        <w:rPr>
          <w:rFonts w:cs="David"/>
          <w:b/>
          <w:bCs/>
          <w:sz w:val="28"/>
          <w:szCs w:val="28"/>
          <w:u w:val="single"/>
          <w:rtl/>
        </w:rPr>
        <w:t>ואלו הנימוקים בעתירה למתן צו על תנאי</w:t>
      </w:r>
    </w:p>
    <w:p w:rsidR="0076259E" w:rsidRPr="00176D91" w:rsidRDefault="005847EB" w:rsidP="00176D91">
      <w:pPr>
        <w:bidi/>
        <w:spacing w:line="360" w:lineRule="auto"/>
        <w:ind w:right="1440"/>
        <w:jc w:val="both"/>
        <w:rPr>
          <w:rFonts w:cs="David"/>
          <w:b/>
          <w:bCs/>
          <w:sz w:val="28"/>
          <w:szCs w:val="28"/>
          <w:u w:val="single"/>
          <w:rtl/>
        </w:rPr>
      </w:pPr>
      <w:r w:rsidRPr="00176D91">
        <w:rPr>
          <w:rFonts w:cs="David"/>
          <w:b/>
          <w:bCs/>
          <w:sz w:val="28"/>
          <w:szCs w:val="28"/>
          <w:u w:val="single"/>
          <w:rtl/>
        </w:rPr>
        <w:t>מבוא</w:t>
      </w:r>
    </w:p>
    <w:p w:rsidR="009B1786" w:rsidRDefault="00D84562" w:rsidP="002C1574">
      <w:pPr>
        <w:bidi/>
        <w:spacing w:line="360" w:lineRule="auto"/>
        <w:jc w:val="both"/>
        <w:rPr>
          <w:rFonts w:cs="David"/>
          <w:sz w:val="24"/>
          <w:szCs w:val="24"/>
          <w:rtl/>
        </w:rPr>
      </w:pPr>
      <w:r w:rsidRPr="0068633F">
        <w:rPr>
          <w:rFonts w:cs="David" w:hint="cs"/>
          <w:sz w:val="24"/>
          <w:szCs w:val="24"/>
          <w:rtl/>
        </w:rPr>
        <w:t>עניינה של עתירה זו הינ</w:t>
      </w:r>
      <w:r w:rsidR="0068633F">
        <w:rPr>
          <w:rFonts w:cs="David" w:hint="cs"/>
          <w:sz w:val="24"/>
          <w:szCs w:val="24"/>
          <w:rtl/>
        </w:rPr>
        <w:t>ה כוונת המשיבים</w:t>
      </w:r>
      <w:r w:rsidR="002C1574">
        <w:rPr>
          <w:rFonts w:cs="David" w:hint="cs"/>
          <w:sz w:val="24"/>
          <w:szCs w:val="24"/>
          <w:rtl/>
        </w:rPr>
        <w:t xml:space="preserve"> </w:t>
      </w:r>
      <w:r w:rsidR="009B1786">
        <w:rPr>
          <w:rFonts w:cs="David" w:hint="cs"/>
          <w:sz w:val="24"/>
          <w:szCs w:val="24"/>
          <w:rtl/>
        </w:rPr>
        <w:t>לאפשר ל</w:t>
      </w:r>
      <w:r w:rsidR="00FC0A9D">
        <w:rPr>
          <w:rFonts w:cs="David" w:hint="cs"/>
          <w:sz w:val="24"/>
          <w:szCs w:val="24"/>
          <w:rtl/>
        </w:rPr>
        <w:t xml:space="preserve">פלשתינאים תושבי האזור </w:t>
      </w:r>
      <w:r w:rsidR="009B1786">
        <w:rPr>
          <w:rFonts w:cs="David" w:hint="cs"/>
          <w:sz w:val="24"/>
          <w:szCs w:val="24"/>
          <w:rtl/>
        </w:rPr>
        <w:t>להיכנס למקרקעין המוחזקים על ידי העותר</w:t>
      </w:r>
      <w:r w:rsidR="00FC0A9D">
        <w:rPr>
          <w:rFonts w:cs="David" w:hint="cs"/>
          <w:sz w:val="24"/>
          <w:szCs w:val="24"/>
          <w:rtl/>
        </w:rPr>
        <w:t>ים</w:t>
      </w:r>
      <w:r w:rsidR="004F4745">
        <w:rPr>
          <w:rFonts w:cs="David" w:hint="cs"/>
          <w:sz w:val="24"/>
          <w:szCs w:val="24"/>
          <w:rtl/>
        </w:rPr>
        <w:t xml:space="preserve"> מזה שנים רבות וזאת באופן שרירותי, מבלי לשמוע את טענות העותר</w:t>
      </w:r>
      <w:r w:rsidR="00FC0A9D">
        <w:rPr>
          <w:rFonts w:cs="David" w:hint="cs"/>
          <w:sz w:val="24"/>
          <w:szCs w:val="24"/>
          <w:rtl/>
        </w:rPr>
        <w:t>ים</w:t>
      </w:r>
      <w:r w:rsidR="004F4745">
        <w:rPr>
          <w:rFonts w:cs="David" w:hint="cs"/>
          <w:sz w:val="24"/>
          <w:szCs w:val="24"/>
          <w:rtl/>
        </w:rPr>
        <w:t xml:space="preserve"> </w:t>
      </w:r>
      <w:r w:rsidR="009B1786">
        <w:rPr>
          <w:rFonts w:cs="David" w:hint="cs"/>
          <w:sz w:val="24"/>
          <w:szCs w:val="24"/>
          <w:rtl/>
        </w:rPr>
        <w:t xml:space="preserve">ומבלי שתהיה </w:t>
      </w:r>
      <w:r w:rsidR="009B1786">
        <w:rPr>
          <w:rFonts w:cs="David" w:hint="cs"/>
          <w:sz w:val="24"/>
          <w:szCs w:val="24"/>
          <w:rtl/>
        </w:rPr>
        <w:lastRenderedPageBreak/>
        <w:t xml:space="preserve">למשיבים הסמכות </w:t>
      </w:r>
      <w:proofErr w:type="spellStart"/>
      <w:r w:rsidR="009B1786">
        <w:rPr>
          <w:rFonts w:cs="David" w:hint="cs"/>
          <w:sz w:val="24"/>
          <w:szCs w:val="24"/>
          <w:rtl/>
        </w:rPr>
        <w:t>המינהלית</w:t>
      </w:r>
      <w:proofErr w:type="spellEnd"/>
      <w:r w:rsidR="009B1786">
        <w:rPr>
          <w:rFonts w:cs="David" w:hint="cs"/>
          <w:sz w:val="24"/>
          <w:szCs w:val="24"/>
          <w:rtl/>
        </w:rPr>
        <w:t xml:space="preserve"> הדרושה לשם הפגיעה בזכות החזקה של העותר</w:t>
      </w:r>
      <w:r w:rsidR="00FC0A9D">
        <w:rPr>
          <w:rFonts w:cs="David" w:hint="cs"/>
          <w:sz w:val="24"/>
          <w:szCs w:val="24"/>
          <w:rtl/>
        </w:rPr>
        <w:t>ים ובזכויותיהם הקנייניות הנוספות בקרקע</w:t>
      </w:r>
      <w:r w:rsidR="009B1786">
        <w:rPr>
          <w:rFonts w:cs="David" w:hint="cs"/>
          <w:sz w:val="24"/>
          <w:szCs w:val="24"/>
          <w:rtl/>
        </w:rPr>
        <w:t>.</w:t>
      </w:r>
    </w:p>
    <w:p w:rsidR="0068633F" w:rsidRDefault="005C2E61" w:rsidP="002C1574">
      <w:pPr>
        <w:bidi/>
        <w:spacing w:line="360" w:lineRule="auto"/>
        <w:jc w:val="both"/>
        <w:rPr>
          <w:rFonts w:cs="David"/>
          <w:sz w:val="24"/>
          <w:szCs w:val="24"/>
          <w:rtl/>
        </w:rPr>
      </w:pPr>
      <w:r w:rsidRPr="001A62B6">
        <w:rPr>
          <w:rFonts w:cs="David" w:hint="cs"/>
          <w:sz w:val="24"/>
          <w:szCs w:val="24"/>
          <w:rtl/>
        </w:rPr>
        <w:t>להלן תצ"א עלי</w:t>
      </w:r>
      <w:r w:rsidR="006E7EA4" w:rsidRPr="001A62B6">
        <w:rPr>
          <w:rFonts w:cs="David" w:hint="cs"/>
          <w:sz w:val="24"/>
          <w:szCs w:val="24"/>
          <w:rtl/>
        </w:rPr>
        <w:t>ה מסומ</w:t>
      </w:r>
      <w:r w:rsidR="0068633F">
        <w:rPr>
          <w:rFonts w:cs="David" w:hint="cs"/>
          <w:sz w:val="24"/>
          <w:szCs w:val="24"/>
          <w:rtl/>
        </w:rPr>
        <w:t>נים השטח החקלאי, נשוא עתירה זו:</w:t>
      </w:r>
    </w:p>
    <w:p w:rsidR="00C92F07" w:rsidRDefault="00C92F07" w:rsidP="00C92F07">
      <w:pPr>
        <w:bidi/>
        <w:spacing w:line="360" w:lineRule="auto"/>
        <w:jc w:val="center"/>
        <w:rPr>
          <w:rFonts w:cs="David"/>
          <w:b/>
          <w:bCs/>
          <w:sz w:val="28"/>
          <w:szCs w:val="28"/>
          <w:u w:val="single"/>
          <w:rtl/>
        </w:rPr>
      </w:pPr>
      <w:r>
        <w:rPr>
          <w:rFonts w:cs="David"/>
          <w:b/>
          <w:bCs/>
          <w:noProof/>
          <w:sz w:val="28"/>
          <w:szCs w:val="28"/>
          <w:u w:val="single"/>
          <w:rtl/>
          <w:lang w:eastAsia="en-US"/>
        </w:rPr>
        <w:drawing>
          <wp:inline distT="0" distB="0" distL="0" distR="0">
            <wp:extent cx="5677232" cy="4015914"/>
            <wp:effectExtent l="0" t="0" r="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עדכני תגיות.jpg"/>
                    <pic:cNvPicPr/>
                  </pic:nvPicPr>
                  <pic:blipFill>
                    <a:blip r:embed="rId9">
                      <a:extLst>
                        <a:ext uri="{28A0092B-C50C-407E-A947-70E740481C1C}">
                          <a14:useLocalDpi xmlns:a14="http://schemas.microsoft.com/office/drawing/2010/main" val="0"/>
                        </a:ext>
                      </a:extLst>
                    </a:blip>
                    <a:stretch>
                      <a:fillRect/>
                    </a:stretch>
                  </pic:blipFill>
                  <pic:spPr>
                    <a:xfrm>
                      <a:off x="0" y="0"/>
                      <a:ext cx="5673437" cy="4013229"/>
                    </a:xfrm>
                    <a:prstGeom prst="rect">
                      <a:avLst/>
                    </a:prstGeom>
                  </pic:spPr>
                </pic:pic>
              </a:graphicData>
            </a:graphic>
          </wp:inline>
        </w:drawing>
      </w:r>
    </w:p>
    <w:p w:rsidR="00C72BAA" w:rsidRDefault="00C72BAA" w:rsidP="00C92F07">
      <w:pPr>
        <w:bidi/>
        <w:spacing w:line="360" w:lineRule="auto"/>
        <w:jc w:val="left"/>
        <w:rPr>
          <w:rFonts w:cs="David" w:hint="cs"/>
          <w:b/>
          <w:bCs/>
          <w:sz w:val="28"/>
          <w:szCs w:val="28"/>
          <w:u w:val="single"/>
          <w:rtl/>
        </w:rPr>
      </w:pPr>
    </w:p>
    <w:p w:rsidR="002F0E9B" w:rsidRPr="00176D91" w:rsidRDefault="002F0E9B" w:rsidP="00C72BAA">
      <w:pPr>
        <w:bidi/>
        <w:spacing w:line="360" w:lineRule="auto"/>
        <w:jc w:val="left"/>
        <w:rPr>
          <w:rFonts w:cs="David"/>
          <w:b/>
          <w:bCs/>
          <w:sz w:val="28"/>
          <w:szCs w:val="28"/>
          <w:u w:val="single"/>
          <w:rtl/>
        </w:rPr>
      </w:pPr>
      <w:r w:rsidRPr="00176D91">
        <w:rPr>
          <w:rFonts w:cs="David"/>
          <w:b/>
          <w:bCs/>
          <w:sz w:val="28"/>
          <w:szCs w:val="28"/>
          <w:u w:val="single"/>
          <w:rtl/>
        </w:rPr>
        <w:t>הצדדים לעתירה</w:t>
      </w:r>
    </w:p>
    <w:p w:rsidR="00C72BAA" w:rsidRPr="00C72BAA" w:rsidRDefault="001E0C49" w:rsidP="00C72BAA">
      <w:pPr>
        <w:pStyle w:val="a9"/>
        <w:numPr>
          <w:ilvl w:val="0"/>
          <w:numId w:val="1"/>
        </w:numPr>
        <w:bidi/>
        <w:spacing w:line="360" w:lineRule="auto"/>
        <w:ind w:hanging="720"/>
        <w:jc w:val="both"/>
        <w:rPr>
          <w:rFonts w:cs="David" w:hint="cs"/>
          <w:sz w:val="24"/>
          <w:szCs w:val="24"/>
        </w:rPr>
      </w:pPr>
      <w:r w:rsidRPr="00C72BAA">
        <w:rPr>
          <w:rFonts w:ascii="Times New Roman" w:eastAsia="Times New Roman" w:hAnsi="Times New Roman" w:cs="David" w:hint="cs"/>
          <w:kern w:val="0"/>
          <w:sz w:val="24"/>
          <w:szCs w:val="24"/>
          <w:rtl/>
          <w:lang w:eastAsia="en-US"/>
        </w:rPr>
        <w:t>העותר</w:t>
      </w:r>
      <w:r w:rsidR="00FC0A9D" w:rsidRPr="00C72BAA">
        <w:rPr>
          <w:rFonts w:ascii="Times New Roman" w:eastAsia="Times New Roman" w:hAnsi="Times New Roman" w:cs="David" w:hint="cs"/>
          <w:kern w:val="0"/>
          <w:sz w:val="24"/>
          <w:szCs w:val="24"/>
          <w:rtl/>
          <w:lang w:eastAsia="en-US"/>
        </w:rPr>
        <w:t>ים</w:t>
      </w:r>
      <w:r w:rsidR="0068633F" w:rsidRPr="00C72BAA">
        <w:rPr>
          <w:rFonts w:ascii="Times New Roman" w:eastAsia="Times New Roman" w:hAnsi="Times New Roman" w:cs="David" w:hint="cs"/>
          <w:kern w:val="0"/>
          <w:sz w:val="24"/>
          <w:szCs w:val="24"/>
          <w:rtl/>
          <w:lang w:eastAsia="en-US"/>
        </w:rPr>
        <w:t xml:space="preserve"> הינ</w:t>
      </w:r>
      <w:r w:rsidR="00FC0A9D" w:rsidRPr="00C72BAA">
        <w:rPr>
          <w:rFonts w:ascii="Times New Roman" w:eastAsia="Times New Roman" w:hAnsi="Times New Roman" w:cs="David" w:hint="cs"/>
          <w:kern w:val="0"/>
          <w:sz w:val="24"/>
          <w:szCs w:val="24"/>
          <w:rtl/>
          <w:lang w:eastAsia="en-US"/>
        </w:rPr>
        <w:t>ם</w:t>
      </w:r>
      <w:r w:rsidR="0068633F" w:rsidRPr="00C72BAA">
        <w:rPr>
          <w:rFonts w:ascii="Times New Roman" w:eastAsia="Times New Roman" w:hAnsi="Times New Roman" w:cs="David" w:hint="cs"/>
          <w:kern w:val="0"/>
          <w:sz w:val="24"/>
          <w:szCs w:val="24"/>
          <w:rtl/>
          <w:lang w:eastAsia="en-US"/>
        </w:rPr>
        <w:t xml:space="preserve"> </w:t>
      </w:r>
      <w:r w:rsidR="004F4745" w:rsidRPr="00C72BAA">
        <w:rPr>
          <w:rFonts w:ascii="Times New Roman" w:eastAsia="Times New Roman" w:hAnsi="Times New Roman" w:cs="David" w:hint="cs"/>
          <w:kern w:val="0"/>
          <w:sz w:val="24"/>
          <w:szCs w:val="24"/>
          <w:rtl/>
          <w:lang w:eastAsia="en-US"/>
        </w:rPr>
        <w:t>אזרח</w:t>
      </w:r>
      <w:r w:rsidR="00FC0A9D" w:rsidRPr="00C72BAA">
        <w:rPr>
          <w:rFonts w:ascii="Times New Roman" w:eastAsia="Times New Roman" w:hAnsi="Times New Roman" w:cs="David" w:hint="cs"/>
          <w:kern w:val="0"/>
          <w:sz w:val="24"/>
          <w:szCs w:val="24"/>
          <w:rtl/>
          <w:lang w:eastAsia="en-US"/>
        </w:rPr>
        <w:t xml:space="preserve">ים </w:t>
      </w:r>
      <w:r w:rsidR="004F4745" w:rsidRPr="00C72BAA">
        <w:rPr>
          <w:rFonts w:ascii="Times New Roman" w:eastAsia="Times New Roman" w:hAnsi="Times New Roman" w:cs="David" w:hint="cs"/>
          <w:kern w:val="0"/>
          <w:sz w:val="24"/>
          <w:szCs w:val="24"/>
          <w:rtl/>
          <w:lang w:eastAsia="en-US"/>
        </w:rPr>
        <w:t>ישראלי</w:t>
      </w:r>
      <w:r w:rsidR="00FC0A9D" w:rsidRPr="00C72BAA">
        <w:rPr>
          <w:rFonts w:ascii="Times New Roman" w:eastAsia="Times New Roman" w:hAnsi="Times New Roman" w:cs="David" w:hint="cs"/>
          <w:kern w:val="0"/>
          <w:sz w:val="24"/>
          <w:szCs w:val="24"/>
          <w:rtl/>
          <w:lang w:eastAsia="en-US"/>
        </w:rPr>
        <w:t xml:space="preserve">ם בעליה ותושביה של "חוות טליה" </w:t>
      </w:r>
      <w:r w:rsidR="00FC0A9D" w:rsidRPr="00C72BAA">
        <w:rPr>
          <w:rFonts w:ascii="Times New Roman" w:eastAsia="Times New Roman" w:hAnsi="Times New Roman" w:cs="David"/>
          <w:kern w:val="0"/>
          <w:sz w:val="24"/>
          <w:szCs w:val="24"/>
          <w:rtl/>
          <w:lang w:eastAsia="en-US"/>
        </w:rPr>
        <w:t>–</w:t>
      </w:r>
      <w:r w:rsidR="00FC0A9D" w:rsidRPr="00C72BAA">
        <w:rPr>
          <w:rFonts w:ascii="Times New Roman" w:eastAsia="Times New Roman" w:hAnsi="Times New Roman" w:cs="David" w:hint="cs"/>
          <w:kern w:val="0"/>
          <w:sz w:val="24"/>
          <w:szCs w:val="24"/>
          <w:rtl/>
          <w:lang w:eastAsia="en-US"/>
        </w:rPr>
        <w:t xml:space="preserve"> חוות התיישבות בודדים העוסקת בחקלאות ומרעה בסמוך ליישוב ית</w:t>
      </w:r>
      <w:r w:rsidR="003738EC" w:rsidRPr="00C72BAA">
        <w:rPr>
          <w:rFonts w:ascii="Times New Roman" w:eastAsia="Times New Roman" w:hAnsi="Times New Roman" w:cs="David" w:hint="cs"/>
          <w:kern w:val="0"/>
          <w:sz w:val="24"/>
          <w:szCs w:val="24"/>
          <w:rtl/>
          <w:lang w:eastAsia="en-US"/>
        </w:rPr>
        <w:t>י</w:t>
      </w:r>
      <w:r w:rsidR="00FC0A9D" w:rsidRPr="00C72BAA">
        <w:rPr>
          <w:rFonts w:ascii="Times New Roman" w:eastAsia="Times New Roman" w:hAnsi="Times New Roman" w:cs="David" w:hint="cs"/>
          <w:kern w:val="0"/>
          <w:sz w:val="24"/>
          <w:szCs w:val="24"/>
          <w:rtl/>
          <w:lang w:eastAsia="en-US"/>
        </w:rPr>
        <w:t xml:space="preserve">ר שבדרום הר חברון. החווה נוסדה על ידי אביהם של העותרים, מר יעקב טליה ז"ל, ועם פטירתו </w:t>
      </w:r>
      <w:r w:rsidR="00FC0A9D" w:rsidRPr="00C72BAA">
        <w:rPr>
          <w:rFonts w:ascii="Times New Roman" w:eastAsia="Times New Roman" w:hAnsi="Times New Roman" w:cs="David"/>
          <w:kern w:val="0"/>
          <w:sz w:val="24"/>
          <w:szCs w:val="24"/>
          <w:rtl/>
          <w:lang w:eastAsia="en-US"/>
        </w:rPr>
        <w:t>–</w:t>
      </w:r>
      <w:r w:rsidR="00FC0A9D" w:rsidRPr="00C72BAA">
        <w:rPr>
          <w:rFonts w:ascii="Times New Roman" w:eastAsia="Times New Roman" w:hAnsi="Times New Roman" w:cs="David" w:hint="cs"/>
          <w:kern w:val="0"/>
          <w:sz w:val="24"/>
          <w:szCs w:val="24"/>
          <w:rtl/>
          <w:lang w:eastAsia="en-US"/>
        </w:rPr>
        <w:t xml:space="preserve"> עברה החווה לבעלותם וניהולם של העותרים.</w:t>
      </w:r>
      <w:r w:rsidR="00FC0A9D" w:rsidRPr="00C72BAA">
        <w:rPr>
          <w:rFonts w:cs="David" w:hint="cs"/>
          <w:sz w:val="24"/>
          <w:szCs w:val="24"/>
          <w:rtl/>
        </w:rPr>
        <w:t xml:space="preserve"> השטח נשוא עתירה זו מוחזק על ידי החווה מזה שנים רבות, לרבות הקצאת המקרקעין לחווה על ידי החטיבה להתיישבות.</w:t>
      </w:r>
    </w:p>
    <w:p w:rsidR="002F0E9B" w:rsidRPr="00C72BAA" w:rsidRDefault="002F0E9B" w:rsidP="00C72BAA">
      <w:pPr>
        <w:pStyle w:val="a9"/>
        <w:numPr>
          <w:ilvl w:val="0"/>
          <w:numId w:val="1"/>
        </w:numPr>
        <w:bidi/>
        <w:spacing w:line="360" w:lineRule="auto"/>
        <w:ind w:hanging="720"/>
        <w:jc w:val="both"/>
        <w:rPr>
          <w:rFonts w:cs="David"/>
          <w:sz w:val="24"/>
          <w:szCs w:val="24"/>
        </w:rPr>
      </w:pPr>
      <w:r w:rsidRPr="00C72BAA">
        <w:rPr>
          <w:rFonts w:ascii="Times New Roman" w:eastAsia="Times New Roman" w:hAnsi="Times New Roman" w:cs="David"/>
          <w:b/>
          <w:bCs/>
          <w:kern w:val="0"/>
          <w:sz w:val="24"/>
          <w:szCs w:val="24"/>
          <w:u w:val="single"/>
          <w:rtl/>
          <w:lang w:eastAsia="en-US"/>
        </w:rPr>
        <w:lastRenderedPageBreak/>
        <w:t>משיב מס</w:t>
      </w:r>
      <w:r w:rsidRPr="00C72BAA">
        <w:rPr>
          <w:rFonts w:ascii="Times New Roman" w:eastAsia="Times New Roman" w:hAnsi="Times New Roman" w:cs="David" w:hint="cs"/>
          <w:b/>
          <w:bCs/>
          <w:kern w:val="0"/>
          <w:sz w:val="24"/>
          <w:szCs w:val="24"/>
          <w:u w:val="single"/>
          <w:rtl/>
          <w:lang w:eastAsia="en-US"/>
        </w:rPr>
        <w:t>' 1</w:t>
      </w:r>
      <w:r w:rsidR="0000063F" w:rsidRPr="00C72BAA">
        <w:rPr>
          <w:rFonts w:cs="David" w:hint="cs"/>
          <w:sz w:val="24"/>
          <w:szCs w:val="24"/>
          <w:rtl/>
        </w:rPr>
        <w:t xml:space="preserve"> </w:t>
      </w:r>
      <w:r w:rsidRPr="00C72BAA">
        <w:rPr>
          <w:rFonts w:cs="David"/>
          <w:sz w:val="24"/>
          <w:szCs w:val="24"/>
          <w:rtl/>
        </w:rPr>
        <w:t>הינו שר הב</w:t>
      </w:r>
      <w:r w:rsidRPr="00C72BAA">
        <w:rPr>
          <w:rFonts w:cs="David" w:hint="cs"/>
          <w:sz w:val="24"/>
          <w:szCs w:val="24"/>
          <w:rtl/>
        </w:rPr>
        <w:t>י</w:t>
      </w:r>
      <w:r w:rsidRPr="00C72BAA">
        <w:rPr>
          <w:rFonts w:cs="David"/>
          <w:sz w:val="24"/>
          <w:szCs w:val="24"/>
          <w:rtl/>
        </w:rPr>
        <w:t>טחון של מדינת ישראל המופקד, מתוקף תפקידו, על פעולותיו של המשיב מ</w:t>
      </w:r>
      <w:r w:rsidRPr="00C72BAA">
        <w:rPr>
          <w:rFonts w:cs="David" w:hint="cs"/>
          <w:sz w:val="24"/>
          <w:szCs w:val="24"/>
          <w:rtl/>
        </w:rPr>
        <w:t>ס' 2</w:t>
      </w:r>
      <w:r w:rsidRPr="00C72BAA">
        <w:rPr>
          <w:rFonts w:cs="David"/>
          <w:sz w:val="24"/>
          <w:szCs w:val="24"/>
          <w:rtl/>
        </w:rPr>
        <w:t xml:space="preserve"> בין היתר בכל הנוגע ל</w:t>
      </w:r>
      <w:r w:rsidR="0068633F" w:rsidRPr="00C72BAA">
        <w:rPr>
          <w:rFonts w:cs="David" w:hint="cs"/>
          <w:sz w:val="24"/>
          <w:szCs w:val="24"/>
          <w:rtl/>
        </w:rPr>
        <w:t>מימוש האחריות הביטחונית והאזרחית של מדינת ישראל בשטחי סי ב</w:t>
      </w:r>
      <w:r w:rsidRPr="00C72BAA">
        <w:rPr>
          <w:rFonts w:cs="David"/>
          <w:sz w:val="24"/>
          <w:szCs w:val="24"/>
          <w:rtl/>
        </w:rPr>
        <w:t>יהודה ושומרון</w:t>
      </w:r>
      <w:r w:rsidR="0068633F" w:rsidRPr="00C72BAA">
        <w:rPr>
          <w:rFonts w:cs="David" w:hint="cs"/>
          <w:sz w:val="24"/>
          <w:szCs w:val="24"/>
          <w:rtl/>
        </w:rPr>
        <w:t>.</w:t>
      </w:r>
    </w:p>
    <w:p w:rsidR="002F0E9B" w:rsidRPr="00176D91" w:rsidRDefault="002F0E9B" w:rsidP="0068633F">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b/>
          <w:bCs/>
          <w:kern w:val="0"/>
          <w:sz w:val="24"/>
          <w:szCs w:val="24"/>
          <w:u w:val="single"/>
          <w:rtl/>
          <w:lang w:eastAsia="en-US"/>
        </w:rPr>
        <w:t xml:space="preserve">המשיב מס' </w:t>
      </w:r>
      <w:r w:rsidRPr="00176D91">
        <w:rPr>
          <w:rFonts w:ascii="Times New Roman" w:eastAsia="Times New Roman" w:hAnsi="Times New Roman" w:cs="David" w:hint="cs"/>
          <w:b/>
          <w:bCs/>
          <w:kern w:val="0"/>
          <w:sz w:val="24"/>
          <w:szCs w:val="24"/>
          <w:u w:val="single"/>
          <w:rtl/>
          <w:lang w:eastAsia="en-US"/>
        </w:rPr>
        <w:t>2</w:t>
      </w:r>
      <w:r w:rsidRPr="00176D91">
        <w:rPr>
          <w:rFonts w:cs="David" w:hint="cs"/>
          <w:sz w:val="24"/>
          <w:szCs w:val="24"/>
          <w:rtl/>
        </w:rPr>
        <w:t xml:space="preserve"> ה</w:t>
      </w:r>
      <w:r w:rsidRPr="00176D91">
        <w:rPr>
          <w:rFonts w:cs="David"/>
          <w:sz w:val="24"/>
          <w:szCs w:val="24"/>
          <w:rtl/>
        </w:rPr>
        <w:t xml:space="preserve">ינו מפקד כוחות צה"ל בשטחים ששוחררו בשנת </w:t>
      </w:r>
      <w:r w:rsidRPr="00176D91">
        <w:rPr>
          <w:rFonts w:cs="David" w:hint="cs"/>
          <w:sz w:val="24"/>
          <w:szCs w:val="24"/>
          <w:rtl/>
        </w:rPr>
        <w:t>1967</w:t>
      </w:r>
      <w:r w:rsidRPr="00176D91">
        <w:rPr>
          <w:rFonts w:cs="David"/>
          <w:sz w:val="24"/>
          <w:szCs w:val="24"/>
          <w:rtl/>
        </w:rPr>
        <w:t>, ועל פי הפרקטיקה הנוהג</w:t>
      </w:r>
      <w:r w:rsidRPr="00176D91">
        <w:rPr>
          <w:rFonts w:cs="David" w:hint="cs"/>
          <w:sz w:val="24"/>
          <w:szCs w:val="24"/>
          <w:rtl/>
        </w:rPr>
        <w:t>ת</w:t>
      </w:r>
      <w:r w:rsidRPr="00176D91">
        <w:rPr>
          <w:rFonts w:cs="David"/>
          <w:sz w:val="24"/>
          <w:szCs w:val="24"/>
          <w:rtl/>
        </w:rPr>
        <w:t xml:space="preserve"> באזור זה עשרות שנים בידו מצויות כל סמכויות הניהול והחקיקה שבאזור. </w:t>
      </w:r>
    </w:p>
    <w:p w:rsidR="0068633F" w:rsidRDefault="002F0E9B" w:rsidP="0068633F">
      <w:pPr>
        <w:pStyle w:val="a9"/>
        <w:numPr>
          <w:ilvl w:val="0"/>
          <w:numId w:val="1"/>
        </w:numPr>
        <w:bidi/>
        <w:spacing w:line="360" w:lineRule="auto"/>
        <w:ind w:hanging="720"/>
        <w:jc w:val="both"/>
        <w:rPr>
          <w:rFonts w:cs="David"/>
          <w:sz w:val="24"/>
          <w:szCs w:val="24"/>
        </w:rPr>
      </w:pPr>
      <w:r w:rsidRPr="002244DB">
        <w:rPr>
          <w:rFonts w:cs="David"/>
          <w:b/>
          <w:bCs/>
          <w:sz w:val="24"/>
          <w:szCs w:val="24"/>
          <w:u w:val="single"/>
          <w:rtl/>
        </w:rPr>
        <w:t xml:space="preserve">המשיב מס' </w:t>
      </w:r>
      <w:r w:rsidRPr="002244DB">
        <w:rPr>
          <w:rFonts w:cs="David" w:hint="cs"/>
          <w:b/>
          <w:bCs/>
          <w:sz w:val="24"/>
          <w:szCs w:val="24"/>
          <w:u w:val="single"/>
          <w:rtl/>
        </w:rPr>
        <w:t>3</w:t>
      </w:r>
      <w:r w:rsidRPr="002244DB">
        <w:rPr>
          <w:rFonts w:cs="David"/>
          <w:sz w:val="24"/>
          <w:szCs w:val="24"/>
          <w:rtl/>
        </w:rPr>
        <w:t xml:space="preserve"> הינו ראש המנהל האזרחי ביהודה ושומרון אשר אליו האציל המשיב מס' </w:t>
      </w:r>
      <w:r w:rsidRPr="002244DB">
        <w:rPr>
          <w:rFonts w:cs="David" w:hint="cs"/>
          <w:sz w:val="24"/>
          <w:szCs w:val="24"/>
          <w:rtl/>
        </w:rPr>
        <w:t>2</w:t>
      </w:r>
      <w:r w:rsidRPr="002244DB">
        <w:rPr>
          <w:rFonts w:cs="David"/>
          <w:sz w:val="24"/>
          <w:szCs w:val="24"/>
          <w:rtl/>
        </w:rPr>
        <w:t xml:space="preserve"> את סמכויות הניהול של החיים האזרחיים בשטחי יהודה ושומרון ועליו מוטלת האחריות למימוש אחריותו של המשיב </w:t>
      </w:r>
      <w:r w:rsidRPr="002244DB">
        <w:rPr>
          <w:rFonts w:cs="David" w:hint="cs"/>
          <w:sz w:val="24"/>
          <w:szCs w:val="24"/>
          <w:rtl/>
        </w:rPr>
        <w:t>2</w:t>
      </w:r>
      <w:r w:rsidRPr="002244DB">
        <w:rPr>
          <w:rFonts w:cs="David"/>
          <w:sz w:val="24"/>
          <w:szCs w:val="24"/>
          <w:rtl/>
        </w:rPr>
        <w:t xml:space="preserve"> ביחס לשמירה </w:t>
      </w:r>
      <w:r w:rsidR="002244DB" w:rsidRPr="00176D91">
        <w:rPr>
          <w:rFonts w:cs="David"/>
          <w:sz w:val="24"/>
          <w:szCs w:val="24"/>
          <w:rtl/>
        </w:rPr>
        <w:t xml:space="preserve">על </w:t>
      </w:r>
      <w:r w:rsidR="002244DB">
        <w:rPr>
          <w:rFonts w:cs="David"/>
          <w:sz w:val="24"/>
          <w:szCs w:val="24"/>
          <w:rtl/>
        </w:rPr>
        <w:t>קיום החוק בתחומי יהודה ושומרון</w:t>
      </w:r>
      <w:r w:rsidR="0068633F">
        <w:rPr>
          <w:rFonts w:cs="David" w:hint="cs"/>
          <w:sz w:val="24"/>
          <w:szCs w:val="24"/>
          <w:rtl/>
        </w:rPr>
        <w:t>.</w:t>
      </w:r>
    </w:p>
    <w:p w:rsidR="00FC0A9D" w:rsidRDefault="004F4745" w:rsidP="00FC0A9D">
      <w:pPr>
        <w:pStyle w:val="a9"/>
        <w:numPr>
          <w:ilvl w:val="0"/>
          <w:numId w:val="1"/>
        </w:numPr>
        <w:bidi/>
        <w:spacing w:line="360" w:lineRule="auto"/>
        <w:ind w:hanging="720"/>
        <w:jc w:val="both"/>
        <w:rPr>
          <w:rFonts w:cs="David"/>
          <w:sz w:val="24"/>
          <w:szCs w:val="24"/>
        </w:rPr>
      </w:pPr>
      <w:r w:rsidRPr="004F4745">
        <w:rPr>
          <w:rFonts w:cs="David" w:hint="cs"/>
          <w:b/>
          <w:bCs/>
          <w:sz w:val="24"/>
          <w:szCs w:val="24"/>
          <w:u w:val="single"/>
          <w:rtl/>
        </w:rPr>
        <w:t xml:space="preserve">המשיבים </w:t>
      </w:r>
      <w:r w:rsidR="00FC0A9D">
        <w:rPr>
          <w:rFonts w:cs="David" w:hint="cs"/>
          <w:b/>
          <w:bCs/>
          <w:sz w:val="24"/>
          <w:szCs w:val="24"/>
          <w:u w:val="single"/>
          <w:rtl/>
        </w:rPr>
        <w:t xml:space="preserve">הנוספים </w:t>
      </w:r>
      <w:r w:rsidRPr="004F4745">
        <w:rPr>
          <w:rFonts w:cs="David" w:hint="cs"/>
          <w:sz w:val="24"/>
          <w:szCs w:val="24"/>
          <w:rtl/>
        </w:rPr>
        <w:t xml:space="preserve"> הם </w:t>
      </w:r>
      <w:r w:rsidR="00FC0A9D">
        <w:rPr>
          <w:rFonts w:cs="David" w:hint="cs"/>
          <w:sz w:val="24"/>
          <w:szCs w:val="24"/>
          <w:rtl/>
        </w:rPr>
        <w:t>פלשתינאים תושבי האזור הטוענים לזכויות במקרקעין. פרטיהם של המשיבים הנוספים טרם ידועים לעותרים והעותרים יבקש</w:t>
      </w:r>
      <w:r w:rsidR="00FE5623">
        <w:rPr>
          <w:rFonts w:cs="David" w:hint="cs"/>
          <w:sz w:val="24"/>
          <w:szCs w:val="24"/>
          <w:rtl/>
        </w:rPr>
        <w:t xml:space="preserve">ו לצרפם לעתירה זו, ככל שפרטיהם </w:t>
      </w:r>
      <w:r w:rsidR="00FC0A9D">
        <w:rPr>
          <w:rFonts w:cs="David" w:hint="cs"/>
          <w:sz w:val="24"/>
          <w:szCs w:val="24"/>
          <w:rtl/>
        </w:rPr>
        <w:t>יתבררו.</w:t>
      </w:r>
    </w:p>
    <w:p w:rsidR="00FC0A9D" w:rsidRDefault="00FC0A9D" w:rsidP="008368A7">
      <w:pPr>
        <w:bidi/>
        <w:spacing w:line="360" w:lineRule="auto"/>
        <w:ind w:left="720" w:hanging="720"/>
        <w:jc w:val="both"/>
        <w:rPr>
          <w:rFonts w:cs="David"/>
          <w:b/>
          <w:bCs/>
          <w:sz w:val="28"/>
          <w:szCs w:val="28"/>
          <w:u w:val="single"/>
          <w:rtl/>
        </w:rPr>
      </w:pPr>
    </w:p>
    <w:p w:rsidR="0076259E" w:rsidRPr="00176D91" w:rsidRDefault="005847EB" w:rsidP="00FC0A9D">
      <w:pPr>
        <w:bidi/>
        <w:spacing w:line="360" w:lineRule="auto"/>
        <w:ind w:left="720" w:hanging="720"/>
        <w:jc w:val="both"/>
        <w:rPr>
          <w:rFonts w:cs="David"/>
          <w:b/>
          <w:bCs/>
          <w:sz w:val="28"/>
          <w:szCs w:val="28"/>
          <w:u w:val="single"/>
          <w:rtl/>
        </w:rPr>
      </w:pPr>
      <w:r w:rsidRPr="00176D91">
        <w:rPr>
          <w:rFonts w:cs="David"/>
          <w:b/>
          <w:bCs/>
          <w:sz w:val="28"/>
          <w:szCs w:val="28"/>
          <w:u w:val="single"/>
          <w:rtl/>
        </w:rPr>
        <w:t>הפרק העובדתי</w:t>
      </w:r>
    </w:p>
    <w:p w:rsidR="00FE5623" w:rsidRDefault="00FE5623" w:rsidP="00FE5623">
      <w:pPr>
        <w:pStyle w:val="a9"/>
        <w:numPr>
          <w:ilvl w:val="0"/>
          <w:numId w:val="1"/>
        </w:numPr>
        <w:bidi/>
        <w:spacing w:line="360" w:lineRule="auto"/>
        <w:ind w:hanging="720"/>
        <w:jc w:val="both"/>
        <w:rPr>
          <w:rFonts w:cs="David"/>
          <w:sz w:val="24"/>
          <w:szCs w:val="24"/>
        </w:rPr>
      </w:pPr>
      <w:r>
        <w:rPr>
          <w:rFonts w:cs="David" w:hint="cs"/>
          <w:sz w:val="24"/>
          <w:szCs w:val="24"/>
          <w:rtl/>
        </w:rPr>
        <w:t>חוות טליה מחזיקה</w:t>
      </w:r>
      <w:r w:rsidR="003321F5" w:rsidRPr="003321F5">
        <w:rPr>
          <w:rFonts w:cs="David" w:hint="cs"/>
          <w:sz w:val="24"/>
          <w:szCs w:val="24"/>
          <w:rtl/>
        </w:rPr>
        <w:t xml:space="preserve"> במקרקעין החל מ</w:t>
      </w:r>
      <w:r w:rsidR="003321F5">
        <w:rPr>
          <w:rFonts w:cs="David" w:hint="cs"/>
          <w:sz w:val="24"/>
          <w:szCs w:val="24"/>
          <w:rtl/>
        </w:rPr>
        <w:t>שנת 19</w:t>
      </w:r>
      <w:r>
        <w:rPr>
          <w:rFonts w:cs="David" w:hint="cs"/>
          <w:sz w:val="24"/>
          <w:szCs w:val="24"/>
          <w:rtl/>
        </w:rPr>
        <w:t xml:space="preserve">96 </w:t>
      </w:r>
      <w:r>
        <w:rPr>
          <w:rFonts w:cs="David"/>
          <w:sz w:val="24"/>
          <w:szCs w:val="24"/>
          <w:rtl/>
        </w:rPr>
        <w:t>–</w:t>
      </w:r>
      <w:r>
        <w:rPr>
          <w:rFonts w:cs="David" w:hint="cs"/>
          <w:sz w:val="24"/>
          <w:szCs w:val="24"/>
          <w:rtl/>
        </w:rPr>
        <w:t xml:space="preserve"> כלומר כ- 23 שנים. </w:t>
      </w:r>
      <w:r w:rsidR="00961BCF">
        <w:rPr>
          <w:rFonts w:cs="David" w:hint="cs"/>
          <w:sz w:val="24"/>
          <w:szCs w:val="24"/>
          <w:rtl/>
        </w:rPr>
        <w:t>השטח משמש את החווה לצרכי מרעה וחקלאות.</w:t>
      </w:r>
    </w:p>
    <w:p w:rsidR="00CE0786" w:rsidRDefault="00FE5623" w:rsidP="00CE0786">
      <w:pPr>
        <w:pStyle w:val="a9"/>
        <w:numPr>
          <w:ilvl w:val="0"/>
          <w:numId w:val="1"/>
        </w:numPr>
        <w:bidi/>
        <w:spacing w:line="360" w:lineRule="auto"/>
        <w:ind w:hanging="720"/>
        <w:jc w:val="both"/>
        <w:rPr>
          <w:rFonts w:cs="David"/>
          <w:sz w:val="24"/>
          <w:szCs w:val="24"/>
        </w:rPr>
      </w:pPr>
      <w:r>
        <w:rPr>
          <w:rFonts w:cs="David" w:hint="cs"/>
          <w:sz w:val="24"/>
          <w:szCs w:val="24"/>
          <w:rtl/>
        </w:rPr>
        <w:t xml:space="preserve">המקרקעין הוקצו לאביהם של העותרים לשם הקמת החווה בשנת 1996 והסכם הרשאה בכתב נחתם ונמסר לאביהם המנוח בשנת 1999. נכון למועד הגשת עתירה זו לא מצוי הסכם ההרשאה בידי העותרים </w:t>
      </w:r>
      <w:r>
        <w:rPr>
          <w:rFonts w:cs="David"/>
          <w:sz w:val="24"/>
          <w:szCs w:val="24"/>
          <w:rtl/>
        </w:rPr>
        <w:t>–</w:t>
      </w:r>
      <w:r>
        <w:rPr>
          <w:rFonts w:cs="David" w:hint="cs"/>
          <w:sz w:val="24"/>
          <w:szCs w:val="24"/>
          <w:rtl/>
        </w:rPr>
        <w:t xml:space="preserve"> אולם העותרים יודעים בוודאות על קיומו ובין היתר מתוך האמור בתגובת ההסתדרות הציונית העולמית אשר הוגשה לבית משפט נכבד זה במסגרת ההליכים בעתירה בבג"ץ 2683/98</w:t>
      </w:r>
      <w:r w:rsidR="00CE0786">
        <w:rPr>
          <w:rFonts w:cs="David" w:hint="cs"/>
          <w:sz w:val="24"/>
          <w:szCs w:val="24"/>
          <w:rtl/>
        </w:rPr>
        <w:t xml:space="preserve">, כפי שיפורט להלן, </w:t>
      </w:r>
      <w:r>
        <w:rPr>
          <w:rFonts w:cs="David" w:hint="cs"/>
          <w:sz w:val="24"/>
          <w:szCs w:val="24"/>
          <w:rtl/>
        </w:rPr>
        <w:t>לעניין ההרשאה ראו</w:t>
      </w:r>
      <w:r w:rsidR="00C64F51">
        <w:rPr>
          <w:rFonts w:cs="David" w:hint="cs"/>
          <w:sz w:val="24"/>
          <w:szCs w:val="24"/>
          <w:rtl/>
        </w:rPr>
        <w:t xml:space="preserve"> סעיפים</w:t>
      </w:r>
      <w:r>
        <w:rPr>
          <w:rFonts w:cs="David" w:hint="cs"/>
          <w:sz w:val="24"/>
          <w:szCs w:val="24"/>
          <w:rtl/>
        </w:rPr>
        <w:t xml:space="preserve"> 5-7 לתגובה הנ"ל וכן סעיפים 6-7 לתצהירו של מר יוסי שגב אשר צורף לתגובה</w:t>
      </w:r>
      <w:r w:rsidR="00CE0786">
        <w:rPr>
          <w:rFonts w:cs="David" w:hint="cs"/>
          <w:sz w:val="24"/>
          <w:szCs w:val="24"/>
          <w:rtl/>
        </w:rPr>
        <w:t xml:space="preserve">. </w:t>
      </w:r>
    </w:p>
    <w:p w:rsidR="00CE0786" w:rsidRPr="00CE0786" w:rsidRDefault="00CE0786" w:rsidP="00CE0786">
      <w:pPr>
        <w:pStyle w:val="a9"/>
        <w:numPr>
          <w:ilvl w:val="0"/>
          <w:numId w:val="19"/>
        </w:numPr>
        <w:bidi/>
        <w:spacing w:line="360" w:lineRule="auto"/>
        <w:jc w:val="both"/>
        <w:rPr>
          <w:rFonts w:cs="David"/>
          <w:b/>
          <w:bCs/>
          <w:sz w:val="24"/>
          <w:szCs w:val="24"/>
        </w:rPr>
      </w:pPr>
      <w:r w:rsidRPr="00CE0786">
        <w:rPr>
          <w:rFonts w:cs="David" w:hint="cs"/>
          <w:b/>
          <w:bCs/>
          <w:sz w:val="24"/>
          <w:szCs w:val="24"/>
          <w:rtl/>
        </w:rPr>
        <w:t>תגובת ההסתדרות הציונית</w:t>
      </w:r>
      <w:r w:rsidR="00C72BAA">
        <w:rPr>
          <w:rFonts w:cs="David" w:hint="cs"/>
          <w:b/>
          <w:bCs/>
          <w:sz w:val="24"/>
          <w:szCs w:val="24"/>
          <w:rtl/>
        </w:rPr>
        <w:t xml:space="preserve"> בבג"ץ 2683/98</w:t>
      </w:r>
      <w:r w:rsidRPr="00CE0786">
        <w:rPr>
          <w:rFonts w:cs="David" w:hint="cs"/>
          <w:b/>
          <w:bCs/>
          <w:sz w:val="24"/>
          <w:szCs w:val="24"/>
          <w:rtl/>
        </w:rPr>
        <w:t xml:space="preserve"> והתצהיר מיום 8.8.2000 המצורף לה מצ</w:t>
      </w:r>
      <w:r>
        <w:rPr>
          <w:rFonts w:cs="David" w:hint="cs"/>
          <w:b/>
          <w:bCs/>
          <w:sz w:val="24"/>
          <w:szCs w:val="24"/>
          <w:rtl/>
        </w:rPr>
        <w:t>"ב לעתירה זו כ</w:t>
      </w:r>
      <w:r w:rsidR="00FE5623" w:rsidRPr="00CE0786">
        <w:rPr>
          <w:rFonts w:cs="David" w:hint="cs"/>
          <w:b/>
          <w:bCs/>
          <w:sz w:val="24"/>
          <w:szCs w:val="24"/>
          <w:rtl/>
        </w:rPr>
        <w:t xml:space="preserve">נספח </w:t>
      </w:r>
      <w:r w:rsidRPr="00CE0786">
        <w:rPr>
          <w:rFonts w:cs="David" w:hint="cs"/>
          <w:b/>
          <w:bCs/>
          <w:sz w:val="24"/>
          <w:szCs w:val="24"/>
          <w:rtl/>
        </w:rPr>
        <w:t>א'</w:t>
      </w:r>
      <w:r>
        <w:rPr>
          <w:rFonts w:cs="David" w:hint="cs"/>
          <w:b/>
          <w:bCs/>
          <w:sz w:val="24"/>
          <w:szCs w:val="24"/>
          <w:rtl/>
        </w:rPr>
        <w:t>.</w:t>
      </w:r>
    </w:p>
    <w:p w:rsidR="00CE0786" w:rsidRDefault="00FE5623" w:rsidP="00CE0786">
      <w:pPr>
        <w:pStyle w:val="a9"/>
        <w:numPr>
          <w:ilvl w:val="0"/>
          <w:numId w:val="1"/>
        </w:numPr>
        <w:bidi/>
        <w:spacing w:line="360" w:lineRule="auto"/>
        <w:ind w:hanging="720"/>
        <w:jc w:val="both"/>
        <w:rPr>
          <w:rFonts w:cs="David"/>
          <w:sz w:val="24"/>
          <w:szCs w:val="24"/>
        </w:rPr>
      </w:pPr>
      <w:r>
        <w:rPr>
          <w:rFonts w:cs="David" w:hint="cs"/>
          <w:sz w:val="24"/>
          <w:szCs w:val="24"/>
          <w:rtl/>
        </w:rPr>
        <w:t xml:space="preserve">למען הסר ספק </w:t>
      </w:r>
      <w:r>
        <w:rPr>
          <w:rFonts w:cs="David"/>
          <w:sz w:val="24"/>
          <w:szCs w:val="24"/>
          <w:rtl/>
        </w:rPr>
        <w:t>–</w:t>
      </w:r>
      <w:r>
        <w:rPr>
          <w:rFonts w:cs="David" w:hint="cs"/>
          <w:sz w:val="24"/>
          <w:szCs w:val="24"/>
          <w:rtl/>
        </w:rPr>
        <w:t xml:space="preserve"> המקרקעין נשוא עתירה זו, כמסומן בתצ"א לעיל, הינם חלק ממשבצת הקרקע שהוקצתה לחוות טליה על ידי ההסתדרות הציונית</w:t>
      </w:r>
      <w:r w:rsidR="00C64F51">
        <w:rPr>
          <w:rFonts w:cs="David" w:hint="cs"/>
          <w:sz w:val="24"/>
          <w:szCs w:val="24"/>
          <w:rtl/>
        </w:rPr>
        <w:t xml:space="preserve"> </w:t>
      </w:r>
      <w:r>
        <w:rPr>
          <w:rFonts w:cs="David" w:hint="cs"/>
          <w:sz w:val="24"/>
          <w:szCs w:val="24"/>
          <w:rtl/>
        </w:rPr>
        <w:t>- החטיבה להתיישבות ונוכח קיומ</w:t>
      </w:r>
      <w:r w:rsidR="00CE0786">
        <w:rPr>
          <w:rFonts w:cs="David" w:hint="cs"/>
          <w:sz w:val="24"/>
          <w:szCs w:val="24"/>
          <w:rtl/>
        </w:rPr>
        <w:t xml:space="preserve">ו של הסכם </w:t>
      </w:r>
      <w:r w:rsidR="00CE0786">
        <w:rPr>
          <w:rFonts w:cs="David" w:hint="cs"/>
          <w:sz w:val="24"/>
          <w:szCs w:val="24"/>
          <w:rtl/>
        </w:rPr>
        <w:lastRenderedPageBreak/>
        <w:t>הרשאה בין הממונה על הרכוש הנטוש והממשלתי ביו"ש לבין ההסתדרות הציונית העולמית, אשר העתקו צורף לכתב התגובה הנ"ל כנספח א' והוא מצורף לעתירה זו כנספח ב'.</w:t>
      </w:r>
    </w:p>
    <w:p w:rsidR="00CE0786" w:rsidRPr="00EF3D7E" w:rsidRDefault="00CE0786" w:rsidP="00CE0786">
      <w:pPr>
        <w:pStyle w:val="a9"/>
        <w:numPr>
          <w:ilvl w:val="0"/>
          <w:numId w:val="19"/>
        </w:numPr>
        <w:bidi/>
        <w:spacing w:line="360" w:lineRule="auto"/>
        <w:jc w:val="both"/>
        <w:rPr>
          <w:rFonts w:cs="David"/>
          <w:b/>
          <w:bCs/>
          <w:sz w:val="24"/>
          <w:szCs w:val="24"/>
        </w:rPr>
      </w:pPr>
      <w:r>
        <w:rPr>
          <w:rFonts w:cs="David" w:hint="cs"/>
          <w:b/>
          <w:bCs/>
          <w:sz w:val="24"/>
          <w:szCs w:val="24"/>
          <w:rtl/>
        </w:rPr>
        <w:t>הסכם ההרשאה מיום 1.9.1984</w:t>
      </w:r>
      <w:r w:rsidRPr="00EF3D7E">
        <w:rPr>
          <w:rFonts w:cs="David" w:hint="cs"/>
          <w:b/>
          <w:bCs/>
          <w:sz w:val="24"/>
          <w:szCs w:val="24"/>
          <w:rtl/>
        </w:rPr>
        <w:t xml:space="preserve"> מצ"ב לעתירה זו כנספח </w:t>
      </w:r>
      <w:r>
        <w:rPr>
          <w:rFonts w:cs="David" w:hint="cs"/>
          <w:b/>
          <w:bCs/>
          <w:sz w:val="24"/>
          <w:szCs w:val="24"/>
          <w:rtl/>
        </w:rPr>
        <w:t>ב</w:t>
      </w:r>
      <w:r w:rsidRPr="00EF3D7E">
        <w:rPr>
          <w:rFonts w:cs="David" w:hint="cs"/>
          <w:b/>
          <w:bCs/>
          <w:sz w:val="24"/>
          <w:szCs w:val="24"/>
          <w:rtl/>
        </w:rPr>
        <w:t>'.</w:t>
      </w:r>
    </w:p>
    <w:p w:rsidR="00CE0786" w:rsidRDefault="00CE0786" w:rsidP="00CE0786">
      <w:pPr>
        <w:pStyle w:val="a9"/>
        <w:numPr>
          <w:ilvl w:val="0"/>
          <w:numId w:val="1"/>
        </w:numPr>
        <w:bidi/>
        <w:spacing w:line="360" w:lineRule="auto"/>
        <w:ind w:hanging="720"/>
        <w:jc w:val="both"/>
        <w:rPr>
          <w:rFonts w:cs="David"/>
          <w:sz w:val="24"/>
          <w:szCs w:val="24"/>
        </w:rPr>
      </w:pPr>
      <w:r>
        <w:rPr>
          <w:rFonts w:cs="David" w:hint="cs"/>
          <w:sz w:val="24"/>
          <w:szCs w:val="24"/>
          <w:rtl/>
        </w:rPr>
        <w:t xml:space="preserve">למיטב ידיעת העותרים, החלקה נשוא עתירה זו נגרעה מהכרזת אדמות המדינה אשר הוקצו לחוות טליה </w:t>
      </w:r>
      <w:r>
        <w:rPr>
          <w:rFonts w:cs="David"/>
          <w:sz w:val="24"/>
          <w:szCs w:val="24"/>
          <w:rtl/>
        </w:rPr>
        <w:t>–</w:t>
      </w:r>
      <w:r>
        <w:rPr>
          <w:rFonts w:cs="David" w:hint="cs"/>
          <w:sz w:val="24"/>
          <w:szCs w:val="24"/>
          <w:rtl/>
        </w:rPr>
        <w:t xml:space="preserve"> אולם לחווה או למי מבעליה מעולם לא נמסרה הודעה על כך.</w:t>
      </w:r>
    </w:p>
    <w:p w:rsidR="00CE0786" w:rsidRDefault="00CE0786" w:rsidP="00CE0786">
      <w:pPr>
        <w:pStyle w:val="a9"/>
        <w:numPr>
          <w:ilvl w:val="0"/>
          <w:numId w:val="1"/>
        </w:numPr>
        <w:bidi/>
        <w:spacing w:line="360" w:lineRule="auto"/>
        <w:ind w:hanging="720"/>
        <w:jc w:val="both"/>
        <w:rPr>
          <w:rFonts w:cs="David"/>
          <w:sz w:val="24"/>
          <w:szCs w:val="24"/>
        </w:rPr>
      </w:pPr>
      <w:r>
        <w:rPr>
          <w:rFonts w:cs="David" w:hint="cs"/>
          <w:sz w:val="24"/>
          <w:szCs w:val="24"/>
          <w:rtl/>
        </w:rPr>
        <w:t xml:space="preserve"> לעותרים ידוע כי בשנת 1998 הוגשה בעניינם של המקרקעין שהוקצו לחווה העתירה בבג"ץ 2683/98 </w:t>
      </w:r>
      <w:r w:rsidRPr="00CE0786">
        <w:rPr>
          <w:rFonts w:cs="David" w:hint="cs"/>
          <w:b/>
          <w:bCs/>
          <w:sz w:val="24"/>
          <w:szCs w:val="24"/>
          <w:rtl/>
        </w:rPr>
        <w:t xml:space="preserve">מוחמד יוסף </w:t>
      </w:r>
      <w:proofErr w:type="spellStart"/>
      <w:r w:rsidRPr="00CE0786">
        <w:rPr>
          <w:rFonts w:cs="David" w:hint="cs"/>
          <w:b/>
          <w:bCs/>
          <w:sz w:val="24"/>
          <w:szCs w:val="24"/>
          <w:rtl/>
        </w:rPr>
        <w:t>ג'דיע</w:t>
      </w:r>
      <w:proofErr w:type="spellEnd"/>
      <w:r w:rsidRPr="00CE0786">
        <w:rPr>
          <w:rFonts w:cs="David" w:hint="cs"/>
          <w:b/>
          <w:bCs/>
          <w:sz w:val="24"/>
          <w:szCs w:val="24"/>
          <w:rtl/>
        </w:rPr>
        <w:t xml:space="preserve"> </w:t>
      </w:r>
      <w:proofErr w:type="spellStart"/>
      <w:r w:rsidRPr="00CE0786">
        <w:rPr>
          <w:rFonts w:cs="David" w:hint="cs"/>
          <w:b/>
          <w:bCs/>
          <w:sz w:val="24"/>
          <w:szCs w:val="24"/>
          <w:rtl/>
        </w:rPr>
        <w:t>נואג'עה</w:t>
      </w:r>
      <w:proofErr w:type="spellEnd"/>
      <w:r w:rsidRPr="00CE0786">
        <w:rPr>
          <w:rFonts w:cs="David" w:hint="cs"/>
          <w:b/>
          <w:bCs/>
          <w:sz w:val="24"/>
          <w:szCs w:val="24"/>
          <w:rtl/>
        </w:rPr>
        <w:t xml:space="preserve"> ואח' נגד המפקד הצבאי לאזור הגדה המערבית ואח'</w:t>
      </w:r>
      <w:r>
        <w:rPr>
          <w:rFonts w:cs="David" w:hint="cs"/>
          <w:sz w:val="24"/>
          <w:szCs w:val="24"/>
          <w:rtl/>
        </w:rPr>
        <w:t xml:space="preserve">. </w:t>
      </w:r>
      <w:r w:rsidR="00961BCF">
        <w:rPr>
          <w:rFonts w:cs="David" w:hint="cs"/>
          <w:sz w:val="24"/>
          <w:szCs w:val="24"/>
          <w:rtl/>
        </w:rPr>
        <w:t xml:space="preserve">בידי העותרים אין את מסמכי העתירה הנ"ל, למעט התגובה המצורפת </w:t>
      </w:r>
      <w:r w:rsidR="00961BCF">
        <w:rPr>
          <w:rFonts w:cs="David"/>
          <w:sz w:val="24"/>
          <w:szCs w:val="24"/>
          <w:rtl/>
        </w:rPr>
        <w:t>–</w:t>
      </w:r>
      <w:r w:rsidR="00961BCF">
        <w:rPr>
          <w:rFonts w:cs="David" w:hint="cs"/>
          <w:sz w:val="24"/>
          <w:szCs w:val="24"/>
          <w:rtl/>
        </w:rPr>
        <w:t xml:space="preserve"> נספח א' לעתירה זו ולמעט פסק הדין מיום 13.9.2000 </w:t>
      </w:r>
      <w:r w:rsidR="00961BCF">
        <w:rPr>
          <w:rFonts w:cs="David"/>
          <w:sz w:val="24"/>
          <w:szCs w:val="24"/>
          <w:rtl/>
        </w:rPr>
        <w:t>–</w:t>
      </w:r>
      <w:r w:rsidR="00961BCF">
        <w:rPr>
          <w:rFonts w:cs="David" w:hint="cs"/>
          <w:sz w:val="24"/>
          <w:szCs w:val="24"/>
          <w:rtl/>
        </w:rPr>
        <w:t xml:space="preserve"> בגדרו נמחקה העתירה</w:t>
      </w:r>
      <w:r w:rsidR="00961BCF">
        <w:rPr>
          <w:rStyle w:val="af5"/>
          <w:rFonts w:cs="David"/>
          <w:sz w:val="24"/>
          <w:szCs w:val="24"/>
          <w:rtl/>
        </w:rPr>
        <w:footnoteReference w:id="1"/>
      </w:r>
      <w:r w:rsidR="00961BCF">
        <w:rPr>
          <w:rFonts w:cs="David" w:hint="cs"/>
          <w:sz w:val="24"/>
          <w:szCs w:val="24"/>
          <w:rtl/>
        </w:rPr>
        <w:t>.</w:t>
      </w:r>
    </w:p>
    <w:p w:rsidR="00961BCF" w:rsidRPr="00961BCF" w:rsidRDefault="00961BCF" w:rsidP="002C1574">
      <w:pPr>
        <w:pStyle w:val="a9"/>
        <w:numPr>
          <w:ilvl w:val="0"/>
          <w:numId w:val="19"/>
        </w:numPr>
        <w:bidi/>
        <w:spacing w:line="360" w:lineRule="auto"/>
        <w:jc w:val="both"/>
        <w:rPr>
          <w:rFonts w:cs="David"/>
          <w:b/>
          <w:bCs/>
          <w:sz w:val="24"/>
          <w:szCs w:val="24"/>
        </w:rPr>
      </w:pPr>
      <w:r w:rsidRPr="00961BCF">
        <w:rPr>
          <w:rFonts w:cs="David" w:hint="cs"/>
          <w:b/>
          <w:bCs/>
          <w:sz w:val="24"/>
          <w:szCs w:val="24"/>
          <w:rtl/>
        </w:rPr>
        <w:t>פסק הדין בבג"ץ 2683/98 מצ"ב לעתירה זו כנספח ג'.</w:t>
      </w:r>
    </w:p>
    <w:p w:rsidR="00820AE8" w:rsidRDefault="00820AE8" w:rsidP="00820AE8">
      <w:pPr>
        <w:pStyle w:val="a9"/>
        <w:numPr>
          <w:ilvl w:val="0"/>
          <w:numId w:val="1"/>
        </w:numPr>
        <w:bidi/>
        <w:spacing w:line="360" w:lineRule="auto"/>
        <w:ind w:hanging="720"/>
        <w:jc w:val="both"/>
        <w:rPr>
          <w:rFonts w:cs="David"/>
          <w:sz w:val="24"/>
          <w:szCs w:val="24"/>
        </w:rPr>
      </w:pPr>
      <w:r>
        <w:rPr>
          <w:rFonts w:cs="David" w:hint="cs"/>
          <w:sz w:val="24"/>
          <w:szCs w:val="24"/>
          <w:rtl/>
        </w:rPr>
        <w:t>לפני כשנה הגיעו מספר תושבים פ</w:t>
      </w:r>
      <w:r w:rsidR="00961BCF">
        <w:rPr>
          <w:rFonts w:cs="David" w:hint="cs"/>
          <w:sz w:val="24"/>
          <w:szCs w:val="24"/>
          <w:rtl/>
        </w:rPr>
        <w:t xml:space="preserve">לשתינאים תושבי האזור </w:t>
      </w:r>
      <w:r w:rsidR="00C64F51">
        <w:rPr>
          <w:rFonts w:cs="David" w:hint="cs"/>
          <w:sz w:val="24"/>
          <w:szCs w:val="24"/>
          <w:rtl/>
        </w:rPr>
        <w:t xml:space="preserve">בכוונה </w:t>
      </w:r>
      <w:r w:rsidR="00961BCF">
        <w:rPr>
          <w:rFonts w:cs="David" w:hint="cs"/>
          <w:sz w:val="24"/>
          <w:szCs w:val="24"/>
          <w:rtl/>
        </w:rPr>
        <w:t>להיכנס לשטח, נשוא עתירה זו, לשם ביצוע פעולות חקלאיות.</w:t>
      </w:r>
      <w:r>
        <w:rPr>
          <w:rFonts w:cs="David" w:hint="cs"/>
          <w:sz w:val="24"/>
          <w:szCs w:val="24"/>
          <w:rtl/>
        </w:rPr>
        <w:t xml:space="preserve"> בעקבות התנגדותם של העותרים </w:t>
      </w:r>
      <w:r>
        <w:rPr>
          <w:rFonts w:cs="David"/>
          <w:sz w:val="24"/>
          <w:szCs w:val="24"/>
          <w:rtl/>
        </w:rPr>
        <w:t>–</w:t>
      </w:r>
      <w:r>
        <w:rPr>
          <w:rFonts w:cs="David" w:hint="cs"/>
          <w:sz w:val="24"/>
          <w:szCs w:val="24"/>
          <w:rtl/>
        </w:rPr>
        <w:t xml:space="preserve"> נמסר לעותרים על ידי רשויות הצבא באזור כי נאסר על הפולשים להיכנס לחלקה.</w:t>
      </w:r>
    </w:p>
    <w:p w:rsidR="00961BCF" w:rsidRDefault="00C64F51" w:rsidP="00C64F51">
      <w:pPr>
        <w:pStyle w:val="a9"/>
        <w:numPr>
          <w:ilvl w:val="0"/>
          <w:numId w:val="1"/>
        </w:numPr>
        <w:bidi/>
        <w:spacing w:line="360" w:lineRule="auto"/>
        <w:ind w:hanging="720"/>
        <w:jc w:val="both"/>
        <w:rPr>
          <w:rFonts w:cs="David"/>
          <w:sz w:val="24"/>
          <w:szCs w:val="24"/>
        </w:rPr>
      </w:pPr>
      <w:r>
        <w:rPr>
          <w:rFonts w:cs="David" w:hint="cs"/>
          <w:sz w:val="24"/>
          <w:szCs w:val="24"/>
          <w:rtl/>
        </w:rPr>
        <w:t>למרות האמור- לפני כחצי שנה נ</w:t>
      </w:r>
      <w:r w:rsidR="00820AE8">
        <w:rPr>
          <w:rFonts w:cs="David" w:hint="cs"/>
          <w:sz w:val="24"/>
          <w:szCs w:val="24"/>
          <w:rtl/>
        </w:rPr>
        <w:t>תנ</w:t>
      </w:r>
      <w:r>
        <w:rPr>
          <w:rFonts w:cs="David" w:hint="cs"/>
          <w:sz w:val="24"/>
          <w:szCs w:val="24"/>
          <w:rtl/>
        </w:rPr>
        <w:t>ו רשויות הצבא</w:t>
      </w:r>
      <w:r w:rsidR="00820AE8">
        <w:rPr>
          <w:rFonts w:cs="David" w:hint="cs"/>
          <w:sz w:val="24"/>
          <w:szCs w:val="24"/>
          <w:rtl/>
        </w:rPr>
        <w:t xml:space="preserve"> רשות לפולשים להיכנס לחלקת העותרים </w:t>
      </w:r>
      <w:r w:rsidR="00820AE8">
        <w:rPr>
          <w:rFonts w:cs="David"/>
          <w:sz w:val="24"/>
          <w:szCs w:val="24"/>
          <w:rtl/>
        </w:rPr>
        <w:t>–</w:t>
      </w:r>
      <w:r w:rsidR="00820AE8">
        <w:rPr>
          <w:rFonts w:cs="David" w:hint="cs"/>
          <w:sz w:val="24"/>
          <w:szCs w:val="24"/>
          <w:rtl/>
        </w:rPr>
        <w:t xml:space="preserve"> ללא ביצוע שום הליך מול העותרים ולפולשים אף ניתן על ידי המשיבים מפתח לשער המצוי בגדר החלקה</w:t>
      </w:r>
      <w:r>
        <w:rPr>
          <w:rFonts w:cs="David" w:hint="cs"/>
          <w:sz w:val="24"/>
          <w:szCs w:val="24"/>
          <w:rtl/>
        </w:rPr>
        <w:t xml:space="preserve">. </w:t>
      </w:r>
      <w:r w:rsidR="00820AE8">
        <w:rPr>
          <w:rFonts w:cs="David" w:hint="cs"/>
          <w:sz w:val="24"/>
          <w:szCs w:val="24"/>
          <w:rtl/>
        </w:rPr>
        <w:t xml:space="preserve">הפולשים נכנסו במהלך חודשים אלו מספר פעמים יחידות לתחומי המקרקעין נשוא העתירה </w:t>
      </w:r>
      <w:r w:rsidR="00820AE8">
        <w:rPr>
          <w:rFonts w:cs="David"/>
          <w:sz w:val="24"/>
          <w:szCs w:val="24"/>
          <w:rtl/>
        </w:rPr>
        <w:t>–</w:t>
      </w:r>
      <w:r w:rsidR="00820AE8">
        <w:rPr>
          <w:rFonts w:cs="David" w:hint="cs"/>
          <w:sz w:val="24"/>
          <w:szCs w:val="24"/>
          <w:rtl/>
        </w:rPr>
        <w:t xml:space="preserve"> למרות היותם מגודרים בגדר של חוות טליה ולמרות היותה מוחזקת על ידי העותרים </w:t>
      </w:r>
      <w:r w:rsidR="00820AE8">
        <w:rPr>
          <w:rFonts w:cs="David"/>
          <w:sz w:val="24"/>
          <w:szCs w:val="24"/>
          <w:rtl/>
        </w:rPr>
        <w:t>–</w:t>
      </w:r>
      <w:r w:rsidR="00820AE8">
        <w:rPr>
          <w:rFonts w:cs="David" w:hint="cs"/>
          <w:sz w:val="24"/>
          <w:szCs w:val="24"/>
          <w:rtl/>
        </w:rPr>
        <w:t xml:space="preserve"> כאמור.</w:t>
      </w:r>
    </w:p>
    <w:p w:rsidR="00820AE8" w:rsidRDefault="00AC22A9" w:rsidP="00820AE8">
      <w:pPr>
        <w:pStyle w:val="a9"/>
        <w:numPr>
          <w:ilvl w:val="0"/>
          <w:numId w:val="1"/>
        </w:numPr>
        <w:bidi/>
        <w:spacing w:line="360" w:lineRule="auto"/>
        <w:ind w:hanging="720"/>
        <w:jc w:val="both"/>
        <w:rPr>
          <w:rFonts w:cs="David"/>
          <w:sz w:val="24"/>
          <w:szCs w:val="24"/>
        </w:rPr>
      </w:pPr>
      <w:r>
        <w:rPr>
          <w:rFonts w:cs="David" w:hint="cs"/>
          <w:sz w:val="24"/>
          <w:szCs w:val="24"/>
          <w:rtl/>
        </w:rPr>
        <w:t xml:space="preserve">ביום </w:t>
      </w:r>
      <w:r w:rsidR="00820AE8">
        <w:rPr>
          <w:rFonts w:cs="David" w:hint="cs"/>
          <w:sz w:val="24"/>
          <w:szCs w:val="24"/>
          <w:rtl/>
        </w:rPr>
        <w:t xml:space="preserve">11.2.2019 נשלחה פניה מאת ב"כ העותרים בדרישה למנוע </w:t>
      </w:r>
      <w:r w:rsidR="00820AE8" w:rsidRPr="00820AE8">
        <w:rPr>
          <w:rFonts w:cs="David" w:hint="cs"/>
          <w:sz w:val="24"/>
          <w:szCs w:val="24"/>
          <w:rtl/>
        </w:rPr>
        <w:t>הכנסת</w:t>
      </w:r>
      <w:r w:rsidR="00820AE8" w:rsidRPr="00820AE8">
        <w:rPr>
          <w:rFonts w:cs="David"/>
          <w:sz w:val="24"/>
          <w:szCs w:val="24"/>
          <w:rtl/>
        </w:rPr>
        <w:t xml:space="preserve"> </w:t>
      </w:r>
      <w:r w:rsidR="00820AE8" w:rsidRPr="00820AE8">
        <w:rPr>
          <w:rFonts w:cs="David" w:hint="cs"/>
          <w:sz w:val="24"/>
          <w:szCs w:val="24"/>
          <w:rtl/>
        </w:rPr>
        <w:t>פולשים</w:t>
      </w:r>
      <w:r w:rsidR="00820AE8" w:rsidRPr="00820AE8">
        <w:rPr>
          <w:rFonts w:cs="David"/>
          <w:sz w:val="24"/>
          <w:szCs w:val="24"/>
          <w:rtl/>
        </w:rPr>
        <w:t xml:space="preserve"> </w:t>
      </w:r>
      <w:r w:rsidR="00820AE8" w:rsidRPr="00820AE8">
        <w:rPr>
          <w:rFonts w:cs="David" w:hint="cs"/>
          <w:sz w:val="24"/>
          <w:szCs w:val="24"/>
          <w:rtl/>
        </w:rPr>
        <w:t>לאדמות</w:t>
      </w:r>
      <w:r w:rsidR="00820AE8" w:rsidRPr="00820AE8">
        <w:rPr>
          <w:rFonts w:cs="David"/>
          <w:sz w:val="24"/>
          <w:szCs w:val="24"/>
          <w:rtl/>
        </w:rPr>
        <w:t xml:space="preserve"> </w:t>
      </w:r>
      <w:r w:rsidR="00C64F51">
        <w:rPr>
          <w:rFonts w:cs="David" w:hint="cs"/>
          <w:sz w:val="24"/>
          <w:szCs w:val="24"/>
          <w:rtl/>
        </w:rPr>
        <w:t>ה</w:t>
      </w:r>
      <w:r w:rsidR="00820AE8" w:rsidRPr="00820AE8">
        <w:rPr>
          <w:rFonts w:cs="David" w:hint="cs"/>
          <w:sz w:val="24"/>
          <w:szCs w:val="24"/>
          <w:rtl/>
        </w:rPr>
        <w:t>חקלאיות</w:t>
      </w:r>
      <w:r w:rsidR="00820AE8" w:rsidRPr="00820AE8">
        <w:rPr>
          <w:rFonts w:cs="David"/>
          <w:sz w:val="24"/>
          <w:szCs w:val="24"/>
          <w:rtl/>
        </w:rPr>
        <w:t xml:space="preserve"> </w:t>
      </w:r>
      <w:r w:rsidR="00820AE8" w:rsidRPr="00820AE8">
        <w:rPr>
          <w:rFonts w:cs="David" w:hint="cs"/>
          <w:sz w:val="24"/>
          <w:szCs w:val="24"/>
          <w:rtl/>
        </w:rPr>
        <w:t>בסמוך</w:t>
      </w:r>
      <w:r w:rsidR="00820AE8" w:rsidRPr="00820AE8">
        <w:rPr>
          <w:rFonts w:cs="David"/>
          <w:sz w:val="24"/>
          <w:szCs w:val="24"/>
          <w:rtl/>
        </w:rPr>
        <w:t xml:space="preserve"> </w:t>
      </w:r>
      <w:r w:rsidR="00820AE8" w:rsidRPr="00820AE8">
        <w:rPr>
          <w:rFonts w:cs="David" w:hint="cs"/>
          <w:sz w:val="24"/>
          <w:szCs w:val="24"/>
          <w:rtl/>
        </w:rPr>
        <w:t>לחוות</w:t>
      </w:r>
      <w:r w:rsidR="00820AE8" w:rsidRPr="00820AE8">
        <w:rPr>
          <w:rFonts w:cs="David"/>
          <w:sz w:val="24"/>
          <w:szCs w:val="24"/>
          <w:rtl/>
        </w:rPr>
        <w:t xml:space="preserve"> </w:t>
      </w:r>
      <w:r w:rsidR="00820AE8" w:rsidRPr="00820AE8">
        <w:rPr>
          <w:rFonts w:cs="David" w:hint="cs"/>
          <w:sz w:val="24"/>
          <w:szCs w:val="24"/>
          <w:rtl/>
        </w:rPr>
        <w:t>טליה</w:t>
      </w:r>
      <w:r w:rsidR="00820AE8">
        <w:rPr>
          <w:rFonts w:cs="David" w:hint="cs"/>
          <w:sz w:val="24"/>
          <w:szCs w:val="24"/>
          <w:rtl/>
        </w:rPr>
        <w:t>. בדרישה זו פורט כי העותרים מחזיקים במקרקעין משך שנים רבות ולמעשה המשיבים פועלים בניגוד לדין בכך שהם מאפשרים כניסת פולשים לחלקה.</w:t>
      </w:r>
    </w:p>
    <w:p w:rsidR="00820AE8" w:rsidRPr="00820AE8" w:rsidRDefault="00820AE8" w:rsidP="00820AE8">
      <w:pPr>
        <w:pStyle w:val="a9"/>
        <w:numPr>
          <w:ilvl w:val="0"/>
          <w:numId w:val="19"/>
        </w:numPr>
        <w:bidi/>
        <w:spacing w:line="360" w:lineRule="auto"/>
        <w:jc w:val="both"/>
        <w:rPr>
          <w:rFonts w:cs="David"/>
          <w:b/>
          <w:bCs/>
          <w:sz w:val="24"/>
          <w:szCs w:val="24"/>
          <w:rtl/>
        </w:rPr>
      </w:pPr>
      <w:r w:rsidRPr="00820AE8">
        <w:rPr>
          <w:rFonts w:cs="David" w:hint="cs"/>
          <w:b/>
          <w:bCs/>
          <w:sz w:val="24"/>
          <w:szCs w:val="24"/>
          <w:rtl/>
        </w:rPr>
        <w:t>פניית העותרים מיום 11.2.2019 מצ"ב לעתירה זו כנספח ד'.</w:t>
      </w:r>
    </w:p>
    <w:p w:rsidR="00AC22A9" w:rsidRDefault="00820AE8" w:rsidP="005A2A44">
      <w:pPr>
        <w:pStyle w:val="a9"/>
        <w:numPr>
          <w:ilvl w:val="0"/>
          <w:numId w:val="1"/>
        </w:numPr>
        <w:bidi/>
        <w:spacing w:line="360" w:lineRule="auto"/>
        <w:ind w:hanging="720"/>
        <w:jc w:val="both"/>
        <w:rPr>
          <w:rFonts w:cs="David"/>
          <w:sz w:val="24"/>
          <w:szCs w:val="24"/>
        </w:rPr>
      </w:pPr>
      <w:r>
        <w:rPr>
          <w:rFonts w:cs="David" w:hint="cs"/>
          <w:sz w:val="24"/>
          <w:szCs w:val="24"/>
          <w:rtl/>
        </w:rPr>
        <w:t xml:space="preserve">ביום </w:t>
      </w:r>
      <w:r w:rsidR="005A2A44">
        <w:rPr>
          <w:rFonts w:cs="David" w:hint="cs"/>
          <w:sz w:val="24"/>
          <w:szCs w:val="24"/>
          <w:rtl/>
        </w:rPr>
        <w:t xml:space="preserve">21.3.2019 השיב המשיב 2 לפניית העותרים והודיע כי הואיל ומדובר בחלקה </w:t>
      </w:r>
      <w:r w:rsidR="00C64F51">
        <w:rPr>
          <w:rFonts w:cs="David" w:hint="cs"/>
          <w:sz w:val="24"/>
          <w:szCs w:val="24"/>
          <w:rtl/>
        </w:rPr>
        <w:t xml:space="preserve">"פרטית </w:t>
      </w:r>
      <w:r w:rsidR="005A2A44">
        <w:rPr>
          <w:rFonts w:cs="David" w:hint="cs"/>
          <w:sz w:val="24"/>
          <w:szCs w:val="24"/>
          <w:rtl/>
        </w:rPr>
        <w:t xml:space="preserve">פלסטינאית" המהווה מובלעת בתוך אדמות המדינה המוקצות לחוות טליה </w:t>
      </w:r>
      <w:r w:rsidR="005A2A44">
        <w:rPr>
          <w:rFonts w:cs="David"/>
          <w:sz w:val="24"/>
          <w:szCs w:val="24"/>
          <w:rtl/>
        </w:rPr>
        <w:t>–</w:t>
      </w:r>
      <w:r w:rsidR="005A2A44">
        <w:rPr>
          <w:rFonts w:cs="David" w:hint="cs"/>
          <w:sz w:val="24"/>
          <w:szCs w:val="24"/>
          <w:rtl/>
        </w:rPr>
        <w:t xml:space="preserve"> מותרת הכניסה לחלקה לפלסטינאים ולא לישראלים</w:t>
      </w:r>
      <w:r w:rsidR="00AC22A9">
        <w:rPr>
          <w:rFonts w:cs="David" w:hint="cs"/>
          <w:sz w:val="24"/>
          <w:szCs w:val="24"/>
          <w:rtl/>
        </w:rPr>
        <w:t xml:space="preserve">. </w:t>
      </w:r>
    </w:p>
    <w:p w:rsidR="00AC22A9" w:rsidRPr="00EF3D7E" w:rsidRDefault="00AC22A9" w:rsidP="005A2A44">
      <w:pPr>
        <w:pStyle w:val="a9"/>
        <w:numPr>
          <w:ilvl w:val="0"/>
          <w:numId w:val="17"/>
        </w:numPr>
        <w:bidi/>
        <w:spacing w:line="360" w:lineRule="auto"/>
        <w:jc w:val="both"/>
        <w:rPr>
          <w:rFonts w:cs="David"/>
          <w:b/>
          <w:bCs/>
          <w:sz w:val="24"/>
          <w:szCs w:val="24"/>
        </w:rPr>
      </w:pPr>
      <w:r w:rsidRPr="00EF3D7E">
        <w:rPr>
          <w:rFonts w:cs="David" w:hint="cs"/>
          <w:b/>
          <w:bCs/>
          <w:sz w:val="24"/>
          <w:szCs w:val="24"/>
          <w:rtl/>
        </w:rPr>
        <w:lastRenderedPageBreak/>
        <w:t xml:space="preserve">מכתב </w:t>
      </w:r>
      <w:r w:rsidR="005A2A44">
        <w:rPr>
          <w:rFonts w:cs="David" w:hint="cs"/>
          <w:b/>
          <w:bCs/>
          <w:sz w:val="24"/>
          <w:szCs w:val="24"/>
          <w:rtl/>
        </w:rPr>
        <w:t xml:space="preserve">המשיב 2 מיום 21.3.2019 </w:t>
      </w:r>
      <w:r w:rsidRPr="00EF3D7E">
        <w:rPr>
          <w:rFonts w:cs="David" w:hint="cs"/>
          <w:b/>
          <w:bCs/>
          <w:sz w:val="24"/>
          <w:szCs w:val="24"/>
          <w:rtl/>
        </w:rPr>
        <w:t xml:space="preserve">מצ"ב לעתירה זו כנספח </w:t>
      </w:r>
      <w:r w:rsidR="005A2A44">
        <w:rPr>
          <w:rFonts w:cs="David" w:hint="cs"/>
          <w:b/>
          <w:bCs/>
          <w:sz w:val="24"/>
          <w:szCs w:val="24"/>
          <w:rtl/>
        </w:rPr>
        <w:t>ה</w:t>
      </w:r>
      <w:r w:rsidR="00FA31BD" w:rsidRPr="00EF3D7E">
        <w:rPr>
          <w:rFonts w:cs="David" w:hint="cs"/>
          <w:b/>
          <w:bCs/>
          <w:sz w:val="24"/>
          <w:szCs w:val="24"/>
          <w:rtl/>
        </w:rPr>
        <w:t>'.</w:t>
      </w:r>
    </w:p>
    <w:p w:rsidR="005D5671" w:rsidRDefault="005A2A44" w:rsidP="005A2A44">
      <w:pPr>
        <w:pStyle w:val="a9"/>
        <w:numPr>
          <w:ilvl w:val="0"/>
          <w:numId w:val="1"/>
        </w:numPr>
        <w:bidi/>
        <w:spacing w:line="360" w:lineRule="auto"/>
        <w:ind w:hanging="720"/>
        <w:jc w:val="both"/>
        <w:rPr>
          <w:rFonts w:cs="David"/>
          <w:sz w:val="24"/>
          <w:szCs w:val="24"/>
        </w:rPr>
      </w:pPr>
      <w:r>
        <w:rPr>
          <w:rFonts w:cs="David" w:hint="cs"/>
          <w:sz w:val="24"/>
          <w:szCs w:val="24"/>
          <w:rtl/>
        </w:rPr>
        <w:t xml:space="preserve">לאור האמור, לא נותרה לעותרים כל ברירה </w:t>
      </w:r>
      <w:r w:rsidR="005D5671">
        <w:rPr>
          <w:rFonts w:cs="David" w:hint="cs"/>
          <w:sz w:val="24"/>
          <w:szCs w:val="24"/>
          <w:rtl/>
        </w:rPr>
        <w:t>כי אם לפנות לבית המשפט בעתירה זו.</w:t>
      </w:r>
    </w:p>
    <w:p w:rsidR="00D10251" w:rsidRDefault="00D10251" w:rsidP="00BE46C7">
      <w:pPr>
        <w:pStyle w:val="a9"/>
        <w:bidi/>
        <w:spacing w:line="360" w:lineRule="auto"/>
        <w:ind w:hanging="720"/>
        <w:jc w:val="both"/>
        <w:rPr>
          <w:rFonts w:cs="David"/>
          <w:b/>
          <w:bCs/>
          <w:sz w:val="28"/>
          <w:szCs w:val="28"/>
          <w:u w:val="single"/>
          <w:rtl/>
        </w:rPr>
      </w:pPr>
    </w:p>
    <w:p w:rsidR="0076259E" w:rsidRDefault="005847EB" w:rsidP="00D10251">
      <w:pPr>
        <w:pStyle w:val="a9"/>
        <w:bidi/>
        <w:spacing w:line="360" w:lineRule="auto"/>
        <w:ind w:hanging="720"/>
        <w:jc w:val="both"/>
        <w:rPr>
          <w:rFonts w:cs="David"/>
          <w:b/>
          <w:bCs/>
          <w:sz w:val="28"/>
          <w:szCs w:val="28"/>
          <w:u w:val="single"/>
          <w:rtl/>
        </w:rPr>
      </w:pPr>
      <w:r w:rsidRPr="00176D91">
        <w:rPr>
          <w:rFonts w:cs="David"/>
          <w:b/>
          <w:bCs/>
          <w:sz w:val="28"/>
          <w:szCs w:val="28"/>
          <w:u w:val="single"/>
          <w:rtl/>
        </w:rPr>
        <w:t>הפרק המשפטי</w:t>
      </w:r>
    </w:p>
    <w:p w:rsidR="008A3B6F" w:rsidRPr="008A3B6F" w:rsidRDefault="008A3B6F" w:rsidP="00C64F51">
      <w:pPr>
        <w:pStyle w:val="a9"/>
        <w:numPr>
          <w:ilvl w:val="0"/>
          <w:numId w:val="1"/>
        </w:numPr>
        <w:bidi/>
        <w:spacing w:line="360" w:lineRule="auto"/>
        <w:ind w:hanging="720"/>
        <w:jc w:val="both"/>
        <w:rPr>
          <w:rFonts w:cs="David"/>
          <w:sz w:val="24"/>
          <w:szCs w:val="24"/>
        </w:rPr>
      </w:pPr>
      <w:r>
        <w:rPr>
          <w:rFonts w:cs="David" w:hint="cs"/>
          <w:sz w:val="24"/>
          <w:szCs w:val="24"/>
          <w:rtl/>
        </w:rPr>
        <w:t>ברור כי ה</w:t>
      </w:r>
      <w:r w:rsidR="005A2A44">
        <w:rPr>
          <w:rFonts w:cs="David" w:hint="cs"/>
          <w:sz w:val="24"/>
          <w:szCs w:val="24"/>
          <w:rtl/>
        </w:rPr>
        <w:t>כניסה וה</w:t>
      </w:r>
      <w:r>
        <w:rPr>
          <w:rFonts w:cs="David" w:hint="cs"/>
          <w:sz w:val="24"/>
          <w:szCs w:val="24"/>
          <w:rtl/>
        </w:rPr>
        <w:t>פגיעה בשטחים החקלאיים</w:t>
      </w:r>
      <w:r w:rsidR="005A2A44">
        <w:rPr>
          <w:rFonts w:cs="David" w:hint="cs"/>
          <w:sz w:val="24"/>
          <w:szCs w:val="24"/>
          <w:rtl/>
        </w:rPr>
        <w:t xml:space="preserve"> של העותרים פוגעת</w:t>
      </w:r>
      <w:r>
        <w:rPr>
          <w:rFonts w:cs="David" w:hint="cs"/>
          <w:sz w:val="24"/>
          <w:szCs w:val="24"/>
          <w:rtl/>
        </w:rPr>
        <w:t xml:space="preserve"> באופן בלתי הפיך </w:t>
      </w:r>
      <w:r w:rsidR="005A2A44">
        <w:rPr>
          <w:rFonts w:cs="David" w:hint="cs"/>
          <w:sz w:val="24"/>
          <w:szCs w:val="24"/>
          <w:rtl/>
        </w:rPr>
        <w:t>ב</w:t>
      </w:r>
      <w:r>
        <w:rPr>
          <w:rFonts w:cs="David" w:hint="cs"/>
          <w:sz w:val="24"/>
          <w:szCs w:val="24"/>
          <w:rtl/>
        </w:rPr>
        <w:t>זכו</w:t>
      </w:r>
      <w:r w:rsidR="005A2A44">
        <w:rPr>
          <w:rFonts w:cs="David" w:hint="cs"/>
          <w:sz w:val="24"/>
          <w:szCs w:val="24"/>
          <w:rtl/>
        </w:rPr>
        <w:t>יות הקניין ו</w:t>
      </w:r>
      <w:r w:rsidR="005D5671">
        <w:rPr>
          <w:rFonts w:cs="David" w:hint="cs"/>
          <w:sz w:val="24"/>
          <w:szCs w:val="24"/>
          <w:rtl/>
        </w:rPr>
        <w:t>החזקה</w:t>
      </w:r>
      <w:r>
        <w:rPr>
          <w:rFonts w:cs="David" w:hint="cs"/>
          <w:sz w:val="24"/>
          <w:szCs w:val="24"/>
          <w:rtl/>
        </w:rPr>
        <w:t xml:space="preserve"> של העותר</w:t>
      </w:r>
      <w:r w:rsidR="005A2A44">
        <w:rPr>
          <w:rFonts w:cs="David" w:hint="cs"/>
          <w:sz w:val="24"/>
          <w:szCs w:val="24"/>
          <w:rtl/>
        </w:rPr>
        <w:t xml:space="preserve">ים ומהווה, הלכה למעשה, הפקעה של זכות החזקה </w:t>
      </w:r>
      <w:r w:rsidR="00C64F51">
        <w:rPr>
          <w:rFonts w:cs="David" w:hint="cs"/>
          <w:sz w:val="24"/>
          <w:szCs w:val="24"/>
          <w:rtl/>
        </w:rPr>
        <w:t>ב</w:t>
      </w:r>
      <w:r w:rsidR="005A2A44">
        <w:rPr>
          <w:rFonts w:cs="David" w:hint="cs"/>
          <w:sz w:val="24"/>
          <w:szCs w:val="24"/>
          <w:rtl/>
        </w:rPr>
        <w:t xml:space="preserve">מקרקעין מידי העותרים </w:t>
      </w:r>
      <w:r w:rsidR="005A2A44">
        <w:rPr>
          <w:rFonts w:cs="David"/>
          <w:sz w:val="24"/>
          <w:szCs w:val="24"/>
          <w:rtl/>
        </w:rPr>
        <w:t>–</w:t>
      </w:r>
      <w:r w:rsidR="005A2A44">
        <w:rPr>
          <w:rFonts w:cs="David" w:hint="cs"/>
          <w:sz w:val="24"/>
          <w:szCs w:val="24"/>
          <w:rtl/>
        </w:rPr>
        <w:t xml:space="preserve"> והעברתה לצד שלישי, ללא הליך שיפוטי ואף ללא הליך </w:t>
      </w:r>
      <w:proofErr w:type="spellStart"/>
      <w:r w:rsidR="005A2A44">
        <w:rPr>
          <w:rFonts w:cs="David" w:hint="cs"/>
          <w:sz w:val="24"/>
          <w:szCs w:val="24"/>
          <w:rtl/>
        </w:rPr>
        <w:t>מינהלי</w:t>
      </w:r>
      <w:proofErr w:type="spellEnd"/>
      <w:r w:rsidR="005A2A44">
        <w:rPr>
          <w:rFonts w:cs="David" w:hint="cs"/>
          <w:sz w:val="24"/>
          <w:szCs w:val="24"/>
          <w:rtl/>
        </w:rPr>
        <w:t xml:space="preserve"> ראוי</w:t>
      </w:r>
      <w:r>
        <w:rPr>
          <w:rFonts w:cs="David" w:hint="cs"/>
          <w:sz w:val="24"/>
          <w:szCs w:val="24"/>
          <w:rtl/>
        </w:rPr>
        <w:t>.</w:t>
      </w:r>
    </w:p>
    <w:p w:rsidR="00D10251" w:rsidRPr="0098419D" w:rsidRDefault="00D10251" w:rsidP="00FA31BD">
      <w:pPr>
        <w:bidi/>
        <w:spacing w:line="360" w:lineRule="auto"/>
        <w:jc w:val="both"/>
        <w:rPr>
          <w:rFonts w:cs="David"/>
          <w:b/>
          <w:bCs/>
          <w:sz w:val="24"/>
          <w:szCs w:val="24"/>
          <w:u w:val="single"/>
          <w:rtl/>
        </w:rPr>
      </w:pPr>
      <w:r w:rsidRPr="0098419D">
        <w:rPr>
          <w:rFonts w:cs="David" w:hint="cs"/>
          <w:b/>
          <w:bCs/>
          <w:sz w:val="24"/>
          <w:szCs w:val="24"/>
          <w:u w:val="single"/>
          <w:rtl/>
        </w:rPr>
        <w:t>על זכות החזקה</w:t>
      </w:r>
    </w:p>
    <w:p w:rsidR="0098419D" w:rsidRPr="0098419D" w:rsidRDefault="00D10251" w:rsidP="0098419D">
      <w:pPr>
        <w:pStyle w:val="a9"/>
        <w:numPr>
          <w:ilvl w:val="0"/>
          <w:numId w:val="1"/>
        </w:numPr>
        <w:bidi/>
        <w:spacing w:line="360" w:lineRule="auto"/>
        <w:ind w:hanging="720"/>
        <w:jc w:val="both"/>
        <w:rPr>
          <w:rFonts w:cs="David"/>
          <w:sz w:val="24"/>
          <w:szCs w:val="24"/>
        </w:rPr>
      </w:pPr>
      <w:r w:rsidRPr="0098419D">
        <w:rPr>
          <w:rFonts w:cs="David" w:hint="cs"/>
          <w:sz w:val="24"/>
          <w:szCs w:val="24"/>
          <w:rtl/>
        </w:rPr>
        <w:t>מושג ה'חזקה' הינו מונח משפטי המתאר שליטה אפקטיבית</w:t>
      </w:r>
      <w:r w:rsidR="0098419D" w:rsidRPr="0098419D">
        <w:rPr>
          <w:rStyle w:val="af5"/>
          <w:rFonts w:cs="David"/>
          <w:sz w:val="24"/>
          <w:szCs w:val="24"/>
          <w:rtl/>
        </w:rPr>
        <w:footnoteReference w:id="2"/>
      </w:r>
      <w:r w:rsidRPr="0098419D">
        <w:rPr>
          <w:rFonts w:cs="David" w:hint="cs"/>
          <w:sz w:val="24"/>
          <w:szCs w:val="24"/>
          <w:rtl/>
        </w:rPr>
        <w:t xml:space="preserve"> בנכס והוא  נפרד ממושג הבעלות, באשר תיתכן חזקה שאינה מלווה בבעלות</w:t>
      </w:r>
      <w:r w:rsidR="0098419D" w:rsidRPr="0098419D">
        <w:rPr>
          <w:rFonts w:cs="David" w:hint="cs"/>
          <w:sz w:val="24"/>
          <w:szCs w:val="24"/>
          <w:rtl/>
        </w:rPr>
        <w:t>.</w:t>
      </w:r>
      <w:r w:rsidR="0098419D">
        <w:rPr>
          <w:rFonts w:cs="David" w:hint="cs"/>
          <w:sz w:val="24"/>
          <w:szCs w:val="24"/>
          <w:rtl/>
        </w:rPr>
        <w:t xml:space="preserve"> </w:t>
      </w:r>
      <w:r w:rsidRPr="0098419D">
        <w:rPr>
          <w:rFonts w:cs="David" w:hint="cs"/>
          <w:color w:val="000000"/>
          <w:sz w:val="24"/>
          <w:szCs w:val="24"/>
          <w:rtl/>
        </w:rPr>
        <w:t>שיטות משפט שונות מקנות לחזקה חשיבות כה רבה, עד שידועה האמרה האנגלית העתיקה לפיה "</w:t>
      </w:r>
      <w:r w:rsidRPr="0098419D">
        <w:rPr>
          <w:rFonts w:cs="David" w:hint="cs"/>
          <w:b/>
          <w:bCs/>
          <w:color w:val="000000"/>
          <w:sz w:val="24"/>
          <w:szCs w:val="24"/>
          <w:rtl/>
        </w:rPr>
        <w:t>החזקה היא תשע עשיריות מהחוק</w:t>
      </w:r>
      <w:r w:rsidRPr="0098419D">
        <w:rPr>
          <w:rFonts w:cs="David" w:hint="cs"/>
          <w:color w:val="000000"/>
          <w:sz w:val="24"/>
          <w:szCs w:val="24"/>
          <w:rtl/>
        </w:rPr>
        <w:t>"</w:t>
      </w:r>
      <w:r w:rsidR="0098419D" w:rsidRPr="0098419D">
        <w:rPr>
          <w:rFonts w:cs="David" w:hint="cs"/>
          <w:color w:val="000000"/>
          <w:sz w:val="24"/>
          <w:szCs w:val="24"/>
          <w:rtl/>
        </w:rPr>
        <w:t>.</w:t>
      </w:r>
    </w:p>
    <w:p w:rsidR="0098419D" w:rsidRPr="0098419D" w:rsidRDefault="00D10251" w:rsidP="0098419D">
      <w:pPr>
        <w:pStyle w:val="a9"/>
        <w:numPr>
          <w:ilvl w:val="0"/>
          <w:numId w:val="1"/>
        </w:numPr>
        <w:bidi/>
        <w:spacing w:line="360" w:lineRule="auto"/>
        <w:ind w:hanging="720"/>
        <w:jc w:val="both"/>
        <w:rPr>
          <w:rFonts w:cs="David"/>
          <w:color w:val="000000"/>
          <w:sz w:val="24"/>
          <w:szCs w:val="24"/>
        </w:rPr>
      </w:pPr>
      <w:r w:rsidRPr="0098419D">
        <w:rPr>
          <w:rFonts w:cs="David" w:hint="cs"/>
          <w:color w:val="000000"/>
          <w:sz w:val="24"/>
          <w:szCs w:val="24"/>
          <w:rtl/>
        </w:rPr>
        <w:t>הגדרת החזקה משתנה בהתאם להקשר שבו נזקקים למונח זה ויפים לעניין זה</w:t>
      </w:r>
      <w:r w:rsidR="0098419D">
        <w:rPr>
          <w:rFonts w:cs="David" w:hint="cs"/>
          <w:color w:val="000000"/>
          <w:sz w:val="24"/>
          <w:szCs w:val="24"/>
          <w:rtl/>
        </w:rPr>
        <w:t>, דברי כבוד השופט ברק</w:t>
      </w:r>
      <w:r w:rsidRPr="0098419D">
        <w:rPr>
          <w:rFonts w:cs="David" w:hint="cs"/>
          <w:color w:val="000000"/>
          <w:sz w:val="24"/>
          <w:szCs w:val="24"/>
          <w:rtl/>
        </w:rPr>
        <w:t>: "</w:t>
      </w:r>
      <w:r w:rsidRPr="0098419D">
        <w:rPr>
          <w:rFonts w:cs="David" w:hint="cs"/>
          <w:b/>
          <w:bCs/>
          <w:color w:val="000000"/>
          <w:sz w:val="24"/>
          <w:szCs w:val="24"/>
          <w:rtl/>
        </w:rPr>
        <w:t xml:space="preserve">כל ניסיון </w:t>
      </w:r>
      <w:proofErr w:type="spellStart"/>
      <w:r w:rsidRPr="0098419D">
        <w:rPr>
          <w:rFonts w:cs="David" w:hint="cs"/>
          <w:b/>
          <w:bCs/>
          <w:color w:val="000000"/>
          <w:sz w:val="24"/>
          <w:szCs w:val="24"/>
          <w:rtl/>
        </w:rPr>
        <w:t>ליתן</w:t>
      </w:r>
      <w:proofErr w:type="spellEnd"/>
      <w:r w:rsidRPr="0098419D">
        <w:rPr>
          <w:rFonts w:cs="David" w:hint="cs"/>
          <w:b/>
          <w:bCs/>
          <w:color w:val="000000"/>
          <w:sz w:val="24"/>
          <w:szCs w:val="24"/>
          <w:rtl/>
        </w:rPr>
        <w:t xml:space="preserve"> ל"החזקה" משמעות כוללת נידון מראש לכישלון. כל שניתן לעשות הוא לבחון את משמעותו בקשר הספציפי שבו הוא מתעורר</w:t>
      </w:r>
      <w:r w:rsidRPr="0098419D">
        <w:rPr>
          <w:rFonts w:cs="David" w:hint="cs"/>
          <w:color w:val="000000"/>
          <w:sz w:val="24"/>
          <w:szCs w:val="24"/>
          <w:rtl/>
        </w:rPr>
        <w:t>"</w:t>
      </w:r>
      <w:r w:rsidR="0098419D">
        <w:rPr>
          <w:rStyle w:val="af5"/>
          <w:sz w:val="24"/>
          <w:szCs w:val="24"/>
          <w:rtl/>
        </w:rPr>
        <w:footnoteReference w:id="3"/>
      </w:r>
      <w:r w:rsidR="0098419D" w:rsidRPr="0098419D">
        <w:rPr>
          <w:rFonts w:hint="cs"/>
          <w:sz w:val="24"/>
          <w:szCs w:val="24"/>
          <w:rtl/>
        </w:rPr>
        <w:t>.</w:t>
      </w:r>
    </w:p>
    <w:p w:rsidR="00D10251" w:rsidRDefault="0098419D" w:rsidP="0098419D">
      <w:pPr>
        <w:pStyle w:val="a9"/>
        <w:numPr>
          <w:ilvl w:val="0"/>
          <w:numId w:val="1"/>
        </w:numPr>
        <w:bidi/>
        <w:spacing w:line="360" w:lineRule="auto"/>
        <w:ind w:hanging="720"/>
        <w:jc w:val="both"/>
        <w:rPr>
          <w:rFonts w:cs="David"/>
          <w:color w:val="000000"/>
          <w:sz w:val="24"/>
          <w:szCs w:val="24"/>
        </w:rPr>
      </w:pPr>
      <w:r w:rsidRPr="0098419D">
        <w:rPr>
          <w:rFonts w:cs="David" w:hint="cs"/>
          <w:color w:val="000000"/>
          <w:sz w:val="24"/>
          <w:szCs w:val="24"/>
          <w:rtl/>
        </w:rPr>
        <w:t xml:space="preserve">עפ"י </w:t>
      </w:r>
      <w:r w:rsidR="00D10251" w:rsidRPr="0098419D">
        <w:rPr>
          <w:rFonts w:cs="David" w:hint="cs"/>
          <w:color w:val="000000"/>
          <w:sz w:val="24"/>
          <w:szCs w:val="24"/>
          <w:rtl/>
        </w:rPr>
        <w:t xml:space="preserve">ויסמן </w:t>
      </w:r>
      <w:r w:rsidRPr="0098419D">
        <w:rPr>
          <w:rFonts w:cs="David" w:hint="cs"/>
          <w:color w:val="000000"/>
          <w:sz w:val="24"/>
          <w:szCs w:val="24"/>
          <w:rtl/>
        </w:rPr>
        <w:t>(</w:t>
      </w:r>
      <w:r w:rsidR="00D10251" w:rsidRPr="0098419D">
        <w:rPr>
          <w:rFonts w:cs="David" w:hint="cs"/>
          <w:color w:val="000000"/>
          <w:sz w:val="24"/>
          <w:szCs w:val="24"/>
          <w:rtl/>
        </w:rPr>
        <w:t>"</w:t>
      </w:r>
      <w:r w:rsidR="00D10251" w:rsidRPr="0098419D">
        <w:rPr>
          <w:rFonts w:cs="David" w:hint="cs"/>
          <w:b/>
          <w:bCs/>
          <w:color w:val="000000"/>
          <w:sz w:val="24"/>
          <w:szCs w:val="24"/>
          <w:rtl/>
        </w:rPr>
        <w:t>דיני קניין</w:t>
      </w:r>
      <w:r w:rsidRPr="0098419D">
        <w:rPr>
          <w:rFonts w:cs="David" w:hint="cs"/>
          <w:color w:val="000000"/>
          <w:sz w:val="24"/>
          <w:szCs w:val="24"/>
          <w:rtl/>
        </w:rPr>
        <w:t>" בעמ' 9),</w:t>
      </w:r>
      <w:r w:rsidR="00D10251" w:rsidRPr="0098419D">
        <w:rPr>
          <w:rFonts w:cs="David" w:hint="cs"/>
          <w:color w:val="000000"/>
          <w:sz w:val="24"/>
          <w:szCs w:val="24"/>
          <w:rtl/>
        </w:rPr>
        <w:t xml:space="preserve"> נוח לעמוד על משמעותה של החזקה על ידי </w:t>
      </w:r>
      <w:r w:rsidR="00D10251" w:rsidRPr="0098419D">
        <w:rPr>
          <w:rFonts w:cs="David" w:hint="cs"/>
          <w:b/>
          <w:bCs/>
          <w:color w:val="000000"/>
          <w:sz w:val="24"/>
          <w:szCs w:val="24"/>
          <w:rtl/>
        </w:rPr>
        <w:t>הנגדתה</w:t>
      </w:r>
      <w:r w:rsidR="007C4AEC">
        <w:rPr>
          <w:rFonts w:cs="David" w:hint="cs"/>
          <w:color w:val="000000"/>
          <w:sz w:val="24"/>
          <w:szCs w:val="24"/>
          <w:rtl/>
        </w:rPr>
        <w:t xml:space="preserve"> לבעלות. כך </w:t>
      </w:r>
      <w:proofErr w:type="spellStart"/>
      <w:r w:rsidR="007C4AEC">
        <w:rPr>
          <w:rFonts w:cs="David" w:hint="cs"/>
          <w:color w:val="000000"/>
          <w:sz w:val="24"/>
          <w:szCs w:val="24"/>
          <w:rtl/>
        </w:rPr>
        <w:t>ש</w:t>
      </w:r>
      <w:r w:rsidR="00D10251" w:rsidRPr="0098419D">
        <w:rPr>
          <w:rFonts w:cs="David" w:hint="cs"/>
          <w:color w:val="000000"/>
          <w:sz w:val="24"/>
          <w:szCs w:val="24"/>
          <w:rtl/>
        </w:rPr>
        <w:t>ה</w:t>
      </w:r>
      <w:r w:rsidR="007C4AEC">
        <w:rPr>
          <w:rFonts w:cs="David" w:hint="cs"/>
          <w:color w:val="000000"/>
          <w:sz w:val="24"/>
          <w:szCs w:val="24"/>
          <w:rtl/>
        </w:rPr>
        <w:t>"</w:t>
      </w:r>
      <w:r w:rsidR="00D10251" w:rsidRPr="0098419D">
        <w:rPr>
          <w:rFonts w:cs="David" w:hint="cs"/>
          <w:color w:val="000000"/>
          <w:sz w:val="24"/>
          <w:szCs w:val="24"/>
          <w:rtl/>
        </w:rPr>
        <w:t>בעלות</w:t>
      </w:r>
      <w:proofErr w:type="spellEnd"/>
      <w:r w:rsidR="007C4AEC">
        <w:rPr>
          <w:rFonts w:cs="David" w:hint="cs"/>
          <w:color w:val="000000"/>
          <w:sz w:val="24"/>
          <w:szCs w:val="24"/>
          <w:rtl/>
        </w:rPr>
        <w:t>"</w:t>
      </w:r>
      <w:r w:rsidR="00D10251" w:rsidRPr="0098419D">
        <w:rPr>
          <w:rFonts w:cs="David" w:hint="cs"/>
          <w:color w:val="000000"/>
          <w:sz w:val="24"/>
          <w:szCs w:val="24"/>
          <w:rtl/>
        </w:rPr>
        <w:t xml:space="preserve"> בנכס היא זכות משפטית, שקיומה הוא מחוץ לעולם המושגים הפיזי ולעומת זאת ה</w:t>
      </w:r>
      <w:r w:rsidR="007C4AEC">
        <w:rPr>
          <w:rFonts w:cs="David" w:hint="cs"/>
          <w:color w:val="000000"/>
          <w:sz w:val="24"/>
          <w:szCs w:val="24"/>
          <w:rtl/>
        </w:rPr>
        <w:t>"</w:t>
      </w:r>
      <w:r w:rsidR="00D10251" w:rsidRPr="0098419D">
        <w:rPr>
          <w:rFonts w:cs="David" w:hint="cs"/>
          <w:color w:val="000000"/>
          <w:sz w:val="24"/>
          <w:szCs w:val="24"/>
          <w:rtl/>
        </w:rPr>
        <w:t>חזקה</w:t>
      </w:r>
      <w:r w:rsidR="007C4AEC">
        <w:rPr>
          <w:rFonts w:cs="David" w:hint="cs"/>
          <w:color w:val="000000"/>
          <w:sz w:val="24"/>
          <w:szCs w:val="24"/>
          <w:rtl/>
        </w:rPr>
        <w:t>"</w:t>
      </w:r>
      <w:r w:rsidR="00D10251" w:rsidRPr="0098419D">
        <w:rPr>
          <w:rFonts w:cs="David" w:hint="cs"/>
          <w:color w:val="000000"/>
          <w:sz w:val="24"/>
          <w:szCs w:val="24"/>
          <w:rtl/>
        </w:rPr>
        <w:t xml:space="preserve"> של נכס מבטאת מצב עובדתי של קרבה פיזית לנכס במידה כזו המתקבלת על ידי הסביבה כמספקת כדי לבטא שליטה בנכס על ידי מניעתו מאחרים.</w:t>
      </w:r>
    </w:p>
    <w:p w:rsidR="00CB07D2" w:rsidRPr="007C4AEC" w:rsidRDefault="007C4AEC" w:rsidP="007C4AEC">
      <w:pPr>
        <w:pStyle w:val="a9"/>
        <w:numPr>
          <w:ilvl w:val="0"/>
          <w:numId w:val="1"/>
        </w:numPr>
        <w:bidi/>
        <w:spacing w:line="360" w:lineRule="auto"/>
        <w:ind w:hanging="720"/>
        <w:jc w:val="both"/>
        <w:rPr>
          <w:rFonts w:cs="David"/>
          <w:sz w:val="24"/>
          <w:szCs w:val="24"/>
          <w:rtl/>
        </w:rPr>
      </w:pPr>
      <w:r w:rsidRPr="007C4AEC">
        <w:rPr>
          <w:rFonts w:cs="David" w:hint="cs"/>
          <w:color w:val="000000"/>
          <w:sz w:val="24"/>
          <w:szCs w:val="24"/>
          <w:rtl/>
        </w:rPr>
        <w:t xml:space="preserve">זכות החזקה הינה זכות הראויה להגנה. </w:t>
      </w:r>
      <w:r w:rsidR="008A3B6F" w:rsidRPr="007C4AEC">
        <w:rPr>
          <w:rFonts w:cs="David" w:hint="cs"/>
          <w:sz w:val="24"/>
          <w:szCs w:val="24"/>
          <w:rtl/>
        </w:rPr>
        <w:t xml:space="preserve">לעניין זה יפים דברי בית משפט נכבד זה </w:t>
      </w:r>
      <w:r w:rsidR="00CB07D2" w:rsidRPr="007C4AEC">
        <w:rPr>
          <w:rFonts w:cs="David"/>
          <w:sz w:val="24"/>
          <w:szCs w:val="24"/>
          <w:rtl/>
        </w:rPr>
        <w:t>על בעניין טל-בניה</w:t>
      </w:r>
      <w:r w:rsidR="00CB07D2">
        <w:rPr>
          <w:rStyle w:val="af5"/>
          <w:rFonts w:cs="David"/>
          <w:sz w:val="24"/>
          <w:szCs w:val="24"/>
          <w:rtl/>
        </w:rPr>
        <w:footnoteReference w:id="4"/>
      </w:r>
      <w:r w:rsidR="00760CC3">
        <w:rPr>
          <w:rFonts w:cs="David" w:hint="cs"/>
          <w:sz w:val="24"/>
          <w:szCs w:val="24"/>
          <w:rtl/>
        </w:rPr>
        <w:t xml:space="preserve"> בק</w:t>
      </w:r>
      <w:r w:rsidR="00CB07D2" w:rsidRPr="007C4AEC">
        <w:rPr>
          <w:rFonts w:cs="David" w:hint="cs"/>
          <w:sz w:val="24"/>
          <w:szCs w:val="24"/>
          <w:rtl/>
        </w:rPr>
        <w:t>בעו כי:</w:t>
      </w:r>
    </w:p>
    <w:p w:rsidR="008A3B6F" w:rsidRDefault="00CB07D2" w:rsidP="00CB07D2">
      <w:pPr>
        <w:pStyle w:val="a9"/>
        <w:bidi/>
        <w:spacing w:line="360" w:lineRule="auto"/>
        <w:ind w:left="1422" w:right="851"/>
        <w:jc w:val="both"/>
        <w:rPr>
          <w:rFonts w:cs="David"/>
          <w:sz w:val="24"/>
          <w:szCs w:val="24"/>
          <w:rtl/>
        </w:rPr>
      </w:pPr>
      <w:r w:rsidRPr="009B1D92">
        <w:rPr>
          <w:rFonts w:cs="David"/>
          <w:b/>
          <w:bCs/>
          <w:sz w:val="24"/>
          <w:szCs w:val="24"/>
          <w:rtl/>
        </w:rPr>
        <w:t xml:space="preserve">"החזקה היא, על-פי רוב, מאפיין של זכות הבעלות, אולם המשפט נותן לה הגנה מיוחדת גם כאשר מקורה אינו בהכרח בזכות בעלות, אלא במצב עובדתי בשטח ... החזקה, בין מכוח זכות ובין שלא מכוח זכות, מוגנת במשפט בצורה נרחבת. מקור </w:t>
      </w:r>
      <w:r w:rsidRPr="009B1D92">
        <w:rPr>
          <w:rFonts w:cs="David"/>
          <w:b/>
          <w:bCs/>
          <w:sz w:val="24"/>
          <w:szCs w:val="24"/>
          <w:rtl/>
        </w:rPr>
        <w:lastRenderedPageBreak/>
        <w:t>ההגנה נעוץ, בראש וראשונה, בצורך להגן על המצב הקיים בשטח כחלק מחובת השמירה על השלום ועל הסדר הציבורי, ולמנוע פתרון מחלוקות בין אדם לאדם ביחס לנכס מקרקעין בכוח הזרוע. טעם נוסף להגנה על החזקה טמון בצורך לשמור על הרצף וההמשכיות בשימוש בקרקע..."</w:t>
      </w:r>
    </w:p>
    <w:p w:rsidR="007C4AEC" w:rsidRDefault="007C4AEC" w:rsidP="00760CC3">
      <w:pPr>
        <w:pStyle w:val="a9"/>
        <w:numPr>
          <w:ilvl w:val="0"/>
          <w:numId w:val="1"/>
        </w:numPr>
        <w:bidi/>
        <w:spacing w:line="360" w:lineRule="auto"/>
        <w:ind w:hanging="720"/>
        <w:jc w:val="both"/>
        <w:rPr>
          <w:rFonts w:cs="David"/>
          <w:sz w:val="24"/>
          <w:szCs w:val="24"/>
        </w:rPr>
      </w:pPr>
      <w:r>
        <w:rPr>
          <w:rFonts w:cs="David" w:hint="cs"/>
          <w:sz w:val="24"/>
          <w:szCs w:val="24"/>
          <w:rtl/>
        </w:rPr>
        <w:t>ודוק, זכותו של המחזיק להגנה על החזקתו - אינה נובעת מטענה לזכות בעלות אלא מדובר בזכות עצמאית</w:t>
      </w:r>
      <w:r w:rsidR="00760CC3">
        <w:rPr>
          <w:rFonts w:cs="David" w:hint="cs"/>
          <w:sz w:val="24"/>
          <w:szCs w:val="24"/>
          <w:rtl/>
        </w:rPr>
        <w:t>, כאמור: "</w:t>
      </w:r>
      <w:r w:rsidR="00760CC3" w:rsidRPr="00760CC3">
        <w:rPr>
          <w:rFonts w:cs="David" w:hint="cs"/>
          <w:b/>
          <w:bCs/>
          <w:sz w:val="24"/>
          <w:szCs w:val="24"/>
          <w:u w:val="single"/>
          <w:rtl/>
        </w:rPr>
        <w:t>החזקה, בין מכוח זכות ובי</w:t>
      </w:r>
      <w:r w:rsidR="00760CC3">
        <w:rPr>
          <w:rFonts w:cs="David" w:hint="cs"/>
          <w:b/>
          <w:bCs/>
          <w:sz w:val="24"/>
          <w:szCs w:val="24"/>
          <w:u w:val="single"/>
          <w:rtl/>
        </w:rPr>
        <w:t>ן</w:t>
      </w:r>
      <w:r w:rsidR="00760CC3" w:rsidRPr="00760CC3">
        <w:rPr>
          <w:rFonts w:cs="David" w:hint="cs"/>
          <w:b/>
          <w:bCs/>
          <w:sz w:val="24"/>
          <w:szCs w:val="24"/>
          <w:u w:val="single"/>
          <w:rtl/>
        </w:rPr>
        <w:t xml:space="preserve"> שלא מכוח זכות, מוגנת במשפט בצורה רחבה</w:t>
      </w:r>
      <w:r w:rsidR="00760CC3">
        <w:rPr>
          <w:rFonts w:cs="David" w:hint="cs"/>
          <w:sz w:val="24"/>
          <w:szCs w:val="24"/>
          <w:rtl/>
        </w:rPr>
        <w:t>".</w:t>
      </w:r>
    </w:p>
    <w:p w:rsidR="005A2A44" w:rsidRDefault="009F11D2" w:rsidP="005A2A44">
      <w:pPr>
        <w:pStyle w:val="a9"/>
        <w:numPr>
          <w:ilvl w:val="0"/>
          <w:numId w:val="1"/>
        </w:numPr>
        <w:bidi/>
        <w:spacing w:line="360" w:lineRule="auto"/>
        <w:ind w:hanging="720"/>
        <w:jc w:val="both"/>
        <w:rPr>
          <w:rFonts w:cs="David"/>
          <w:sz w:val="24"/>
          <w:szCs w:val="24"/>
        </w:rPr>
      </w:pPr>
      <w:r w:rsidRPr="009F11D2">
        <w:rPr>
          <w:rFonts w:cs="David" w:hint="cs"/>
          <w:b/>
          <w:bCs/>
          <w:sz w:val="24"/>
          <w:szCs w:val="24"/>
          <w:u w:val="single"/>
          <w:rtl/>
        </w:rPr>
        <w:t>במקרה דנן</w:t>
      </w:r>
      <w:r>
        <w:rPr>
          <w:rFonts w:cs="David" w:hint="cs"/>
          <w:sz w:val="24"/>
          <w:szCs w:val="24"/>
          <w:rtl/>
        </w:rPr>
        <w:t xml:space="preserve">: </w:t>
      </w:r>
      <w:r w:rsidR="00760CC3">
        <w:rPr>
          <w:rFonts w:cs="David" w:hint="cs"/>
          <w:sz w:val="24"/>
          <w:szCs w:val="24"/>
          <w:rtl/>
        </w:rPr>
        <w:t>לאור האמור, ומשאין מחלוקת כי העותר</w:t>
      </w:r>
      <w:r w:rsidR="005A2A44">
        <w:rPr>
          <w:rFonts w:cs="David" w:hint="cs"/>
          <w:sz w:val="24"/>
          <w:szCs w:val="24"/>
          <w:rtl/>
        </w:rPr>
        <w:t xml:space="preserve">ים הם </w:t>
      </w:r>
      <w:r w:rsidR="00760CC3">
        <w:rPr>
          <w:rFonts w:cs="David" w:hint="cs"/>
          <w:sz w:val="24"/>
          <w:szCs w:val="24"/>
          <w:rtl/>
        </w:rPr>
        <w:t>המחזיק</w:t>
      </w:r>
      <w:r w:rsidR="005A2A44">
        <w:rPr>
          <w:rFonts w:cs="David" w:hint="cs"/>
          <w:sz w:val="24"/>
          <w:szCs w:val="24"/>
          <w:rtl/>
        </w:rPr>
        <w:t>ים</w:t>
      </w:r>
      <w:r w:rsidR="00760CC3">
        <w:rPr>
          <w:rFonts w:cs="David" w:hint="cs"/>
          <w:sz w:val="24"/>
          <w:szCs w:val="24"/>
          <w:rtl/>
        </w:rPr>
        <w:t xml:space="preserve"> במקרקעין באופן אפקטיבי</w:t>
      </w:r>
      <w:r w:rsidR="005A2A44">
        <w:rPr>
          <w:rFonts w:cs="David" w:hint="cs"/>
          <w:sz w:val="24"/>
          <w:szCs w:val="24"/>
          <w:rtl/>
        </w:rPr>
        <w:t xml:space="preserve"> מזה עשרות שנים</w:t>
      </w:r>
      <w:r w:rsidR="00760CC3">
        <w:rPr>
          <w:rFonts w:cs="David" w:hint="cs"/>
          <w:sz w:val="24"/>
          <w:szCs w:val="24"/>
          <w:rtl/>
        </w:rPr>
        <w:t xml:space="preserve"> </w:t>
      </w:r>
      <w:r w:rsidR="00760CC3">
        <w:rPr>
          <w:rFonts w:cs="David"/>
          <w:sz w:val="24"/>
          <w:szCs w:val="24"/>
          <w:rtl/>
        </w:rPr>
        <w:t>–</w:t>
      </w:r>
      <w:r w:rsidR="00760CC3">
        <w:rPr>
          <w:rFonts w:cs="David" w:hint="cs"/>
          <w:sz w:val="24"/>
          <w:szCs w:val="24"/>
          <w:rtl/>
        </w:rPr>
        <w:t xml:space="preserve"> ברור כי לעותר</w:t>
      </w:r>
      <w:r w:rsidR="005A2A44">
        <w:rPr>
          <w:rFonts w:cs="David" w:hint="cs"/>
          <w:sz w:val="24"/>
          <w:szCs w:val="24"/>
          <w:rtl/>
        </w:rPr>
        <w:t>ים</w:t>
      </w:r>
      <w:r w:rsidR="00760CC3">
        <w:rPr>
          <w:rFonts w:cs="David" w:hint="cs"/>
          <w:sz w:val="24"/>
          <w:szCs w:val="24"/>
          <w:rtl/>
        </w:rPr>
        <w:t xml:space="preserve"> עומדת זכות החזקה ביחס למקרקעין נשוא העתירה</w:t>
      </w:r>
      <w:r>
        <w:rPr>
          <w:rFonts w:cs="David" w:hint="cs"/>
          <w:sz w:val="24"/>
          <w:szCs w:val="24"/>
          <w:rtl/>
        </w:rPr>
        <w:t xml:space="preserve">, וזאת </w:t>
      </w:r>
      <w:r w:rsidR="005A2A44">
        <w:rPr>
          <w:rFonts w:cs="David" w:hint="cs"/>
          <w:sz w:val="24"/>
          <w:szCs w:val="24"/>
          <w:rtl/>
        </w:rPr>
        <w:t>אף במנותק מ</w:t>
      </w:r>
      <w:r>
        <w:rPr>
          <w:rFonts w:cs="David" w:hint="cs"/>
          <w:sz w:val="24"/>
          <w:szCs w:val="24"/>
          <w:rtl/>
        </w:rPr>
        <w:t>שאל</w:t>
      </w:r>
      <w:r w:rsidR="005A2A44">
        <w:rPr>
          <w:rFonts w:cs="David" w:hint="cs"/>
          <w:sz w:val="24"/>
          <w:szCs w:val="24"/>
          <w:rtl/>
        </w:rPr>
        <w:t>ת זכויות הבעלות במקרקעין.</w:t>
      </w:r>
    </w:p>
    <w:p w:rsidR="002C1574" w:rsidRDefault="002C1574" w:rsidP="002C1574">
      <w:pPr>
        <w:pStyle w:val="a9"/>
        <w:bidi/>
        <w:spacing w:line="360" w:lineRule="auto"/>
        <w:jc w:val="both"/>
        <w:rPr>
          <w:rFonts w:cs="David"/>
          <w:sz w:val="24"/>
          <w:szCs w:val="24"/>
        </w:rPr>
      </w:pPr>
    </w:p>
    <w:p w:rsidR="009F11D2" w:rsidRDefault="009F11D2" w:rsidP="006D3837">
      <w:pPr>
        <w:bidi/>
        <w:spacing w:line="360" w:lineRule="auto"/>
        <w:jc w:val="both"/>
        <w:rPr>
          <w:rFonts w:cs="David"/>
          <w:b/>
          <w:bCs/>
          <w:sz w:val="24"/>
          <w:szCs w:val="24"/>
          <w:u w:val="single"/>
          <w:rtl/>
        </w:rPr>
      </w:pPr>
      <w:r w:rsidRPr="009F11D2">
        <w:rPr>
          <w:rFonts w:cs="David" w:hint="cs"/>
          <w:b/>
          <w:bCs/>
          <w:sz w:val="24"/>
          <w:szCs w:val="24"/>
          <w:u w:val="single"/>
          <w:rtl/>
        </w:rPr>
        <w:t xml:space="preserve">הפגיעה </w:t>
      </w:r>
      <w:proofErr w:type="spellStart"/>
      <w:r w:rsidRPr="009F11D2">
        <w:rPr>
          <w:rFonts w:cs="David" w:hint="cs"/>
          <w:b/>
          <w:bCs/>
          <w:sz w:val="24"/>
          <w:szCs w:val="24"/>
          <w:u w:val="single"/>
          <w:rtl/>
        </w:rPr>
        <w:t>המינהלית</w:t>
      </w:r>
      <w:proofErr w:type="spellEnd"/>
      <w:r w:rsidRPr="009F11D2">
        <w:rPr>
          <w:rFonts w:cs="David" w:hint="cs"/>
          <w:b/>
          <w:bCs/>
          <w:sz w:val="24"/>
          <w:szCs w:val="24"/>
          <w:u w:val="single"/>
          <w:rtl/>
        </w:rPr>
        <w:t xml:space="preserve"> בזכות העותר</w:t>
      </w:r>
      <w:r w:rsidR="008B1DC9">
        <w:rPr>
          <w:rFonts w:cs="David" w:hint="cs"/>
          <w:b/>
          <w:bCs/>
          <w:sz w:val="24"/>
          <w:szCs w:val="24"/>
          <w:u w:val="single"/>
          <w:rtl/>
        </w:rPr>
        <w:t xml:space="preserve"> להגנה על החזקה</w:t>
      </w:r>
    </w:p>
    <w:p w:rsidR="009F11D2" w:rsidRPr="009F11D2" w:rsidRDefault="008B1DC9" w:rsidP="002C1574">
      <w:pPr>
        <w:pStyle w:val="a9"/>
        <w:numPr>
          <w:ilvl w:val="0"/>
          <w:numId w:val="1"/>
        </w:numPr>
        <w:bidi/>
        <w:spacing w:line="360" w:lineRule="auto"/>
        <w:ind w:hanging="720"/>
        <w:jc w:val="both"/>
        <w:rPr>
          <w:rFonts w:cs="David"/>
          <w:sz w:val="24"/>
          <w:szCs w:val="24"/>
        </w:rPr>
      </w:pPr>
      <w:r>
        <w:rPr>
          <w:rFonts w:cs="David" w:hint="cs"/>
          <w:sz w:val="24"/>
          <w:szCs w:val="24"/>
          <w:rtl/>
        </w:rPr>
        <w:t xml:space="preserve">ראשית לכל - </w:t>
      </w:r>
      <w:r w:rsidR="009F11D2" w:rsidRPr="009F11D2">
        <w:rPr>
          <w:rFonts w:cs="David" w:hint="cs"/>
          <w:sz w:val="24"/>
          <w:szCs w:val="24"/>
          <w:rtl/>
        </w:rPr>
        <w:t>המשיבים</w:t>
      </w:r>
      <w:r w:rsidR="009F11D2">
        <w:rPr>
          <w:rFonts w:cs="David" w:hint="cs"/>
          <w:sz w:val="24"/>
          <w:szCs w:val="24"/>
          <w:rtl/>
        </w:rPr>
        <w:t xml:space="preserve"> </w:t>
      </w:r>
      <w:r w:rsidR="009F11D2" w:rsidRPr="009F11D2">
        <w:rPr>
          <w:rFonts w:cs="David" w:hint="cs"/>
          <w:sz w:val="24"/>
          <w:szCs w:val="24"/>
          <w:rtl/>
        </w:rPr>
        <w:t xml:space="preserve">הינם סמכות </w:t>
      </w:r>
      <w:proofErr w:type="spellStart"/>
      <w:r w:rsidR="009F11D2" w:rsidRPr="009F11D2">
        <w:rPr>
          <w:rFonts w:cs="David" w:hint="cs"/>
          <w:sz w:val="24"/>
          <w:szCs w:val="24"/>
          <w:rtl/>
        </w:rPr>
        <w:t>מינהלית</w:t>
      </w:r>
      <w:proofErr w:type="spellEnd"/>
      <w:r w:rsidR="009F11D2" w:rsidRPr="009F11D2">
        <w:rPr>
          <w:rFonts w:cs="David" w:hint="cs"/>
          <w:sz w:val="24"/>
          <w:szCs w:val="24"/>
          <w:rtl/>
        </w:rPr>
        <w:t xml:space="preserve"> וככאלו חלים עליהם עקרונות המשפט </w:t>
      </w:r>
      <w:proofErr w:type="spellStart"/>
      <w:r w:rsidR="009F11D2" w:rsidRPr="009F11D2">
        <w:rPr>
          <w:rFonts w:cs="David" w:hint="cs"/>
          <w:sz w:val="24"/>
          <w:szCs w:val="24"/>
          <w:rtl/>
        </w:rPr>
        <w:t>המינהלי</w:t>
      </w:r>
      <w:proofErr w:type="spellEnd"/>
      <w:r w:rsidR="009F11D2" w:rsidRPr="009F11D2">
        <w:rPr>
          <w:rFonts w:cs="David" w:hint="cs"/>
          <w:sz w:val="24"/>
          <w:szCs w:val="24"/>
          <w:rtl/>
        </w:rPr>
        <w:t xml:space="preserve">. כלל היסוד במשפט </w:t>
      </w:r>
      <w:proofErr w:type="spellStart"/>
      <w:r w:rsidR="009F11D2" w:rsidRPr="009F11D2">
        <w:rPr>
          <w:rFonts w:cs="David" w:hint="cs"/>
          <w:sz w:val="24"/>
          <w:szCs w:val="24"/>
          <w:rtl/>
        </w:rPr>
        <w:t>המינהלי</w:t>
      </w:r>
      <w:proofErr w:type="spellEnd"/>
      <w:r w:rsidR="009F11D2" w:rsidRPr="009F11D2">
        <w:rPr>
          <w:rFonts w:cs="David" w:hint="cs"/>
          <w:sz w:val="24"/>
          <w:szCs w:val="24"/>
          <w:rtl/>
        </w:rPr>
        <w:t xml:space="preserve"> הינו שסמכותה של רשות הינה </w:t>
      </w:r>
      <w:r w:rsidR="009F11D2">
        <w:rPr>
          <w:rFonts w:cs="David" w:hint="cs"/>
          <w:sz w:val="24"/>
          <w:szCs w:val="24"/>
          <w:rtl/>
        </w:rPr>
        <w:t xml:space="preserve">רק </w:t>
      </w:r>
      <w:r w:rsidR="009F11D2" w:rsidRPr="009F11D2">
        <w:rPr>
          <w:rFonts w:cs="David" w:hint="cs"/>
          <w:sz w:val="24"/>
          <w:szCs w:val="24"/>
          <w:rtl/>
        </w:rPr>
        <w:t>הסמכות שהוענקה לה בדין:</w:t>
      </w:r>
    </w:p>
    <w:p w:rsidR="009F11D2" w:rsidRDefault="009F11D2" w:rsidP="009F11D2">
      <w:pPr>
        <w:pStyle w:val="a9"/>
        <w:bidi/>
        <w:spacing w:line="360" w:lineRule="auto"/>
        <w:ind w:left="1422" w:right="851"/>
        <w:jc w:val="both"/>
        <w:rPr>
          <w:rFonts w:cs="David"/>
          <w:b/>
          <w:bCs/>
          <w:sz w:val="24"/>
          <w:szCs w:val="24"/>
          <w:rtl/>
        </w:rPr>
      </w:pPr>
      <w:r w:rsidRPr="009F11D2">
        <w:rPr>
          <w:rFonts w:cs="David" w:hint="cs"/>
          <w:b/>
          <w:bCs/>
          <w:sz w:val="24"/>
          <w:szCs w:val="24"/>
          <w:rtl/>
        </w:rPr>
        <w:t xml:space="preserve">"הסמכות </w:t>
      </w:r>
      <w:proofErr w:type="spellStart"/>
      <w:r w:rsidRPr="009F11D2">
        <w:rPr>
          <w:rFonts w:cs="David" w:hint="cs"/>
          <w:b/>
          <w:bCs/>
          <w:sz w:val="24"/>
          <w:szCs w:val="24"/>
          <w:rtl/>
        </w:rPr>
        <w:t>המ</w:t>
      </w:r>
      <w:r w:rsidR="008B1DC9">
        <w:rPr>
          <w:rFonts w:cs="David" w:hint="cs"/>
          <w:b/>
          <w:bCs/>
          <w:sz w:val="24"/>
          <w:szCs w:val="24"/>
          <w:rtl/>
        </w:rPr>
        <w:t>י</w:t>
      </w:r>
      <w:r w:rsidRPr="009F11D2">
        <w:rPr>
          <w:rFonts w:cs="David" w:hint="cs"/>
          <w:b/>
          <w:bCs/>
          <w:sz w:val="24"/>
          <w:szCs w:val="24"/>
          <w:rtl/>
        </w:rPr>
        <w:t>נהלית</w:t>
      </w:r>
      <w:proofErr w:type="spellEnd"/>
      <w:r w:rsidRPr="009F11D2">
        <w:rPr>
          <w:rFonts w:cs="David" w:hint="cs"/>
          <w:b/>
          <w:bCs/>
          <w:sz w:val="24"/>
          <w:szCs w:val="24"/>
          <w:rtl/>
        </w:rPr>
        <w:t xml:space="preserve"> נשלטת על ידי העיקרון של חוקיות המינהל. על פי עיקרון זה, אין סמכות לשום רשות </w:t>
      </w:r>
      <w:proofErr w:type="spellStart"/>
      <w:r w:rsidRPr="009F11D2">
        <w:rPr>
          <w:rFonts w:cs="David" w:hint="cs"/>
          <w:b/>
          <w:bCs/>
          <w:sz w:val="24"/>
          <w:szCs w:val="24"/>
          <w:rtl/>
        </w:rPr>
        <w:t>מינהלית</w:t>
      </w:r>
      <w:proofErr w:type="spellEnd"/>
      <w:r w:rsidRPr="009F11D2">
        <w:rPr>
          <w:rFonts w:cs="David" w:hint="cs"/>
          <w:b/>
          <w:bCs/>
          <w:sz w:val="24"/>
          <w:szCs w:val="24"/>
          <w:rtl/>
        </w:rPr>
        <w:t xml:space="preserve"> אלא אותה סמכות שהוענקה לה לפי חוק"</w:t>
      </w:r>
      <w:r>
        <w:rPr>
          <w:rStyle w:val="af5"/>
          <w:rFonts w:cs="David"/>
          <w:b/>
          <w:bCs/>
          <w:sz w:val="24"/>
          <w:szCs w:val="24"/>
          <w:rtl/>
        </w:rPr>
        <w:footnoteReference w:id="5"/>
      </w:r>
      <w:r>
        <w:rPr>
          <w:rFonts w:cs="David" w:hint="cs"/>
          <w:b/>
          <w:bCs/>
          <w:sz w:val="24"/>
          <w:szCs w:val="24"/>
          <w:rtl/>
        </w:rPr>
        <w:t>.</w:t>
      </w:r>
    </w:p>
    <w:p w:rsidR="00897737" w:rsidRDefault="008B1DC9" w:rsidP="002C1574">
      <w:pPr>
        <w:pStyle w:val="a9"/>
        <w:numPr>
          <w:ilvl w:val="0"/>
          <w:numId w:val="1"/>
        </w:numPr>
        <w:bidi/>
        <w:spacing w:line="360" w:lineRule="auto"/>
        <w:ind w:hanging="720"/>
        <w:jc w:val="both"/>
        <w:rPr>
          <w:rFonts w:cs="David"/>
          <w:sz w:val="24"/>
          <w:szCs w:val="24"/>
        </w:rPr>
      </w:pPr>
      <w:r>
        <w:rPr>
          <w:rFonts w:cs="David" w:hint="cs"/>
          <w:sz w:val="24"/>
          <w:szCs w:val="24"/>
          <w:rtl/>
        </w:rPr>
        <w:t xml:space="preserve">במקרה דנן מדובר בסכסוך </w:t>
      </w:r>
      <w:r w:rsidRPr="00FA31BD">
        <w:rPr>
          <w:rFonts w:cs="David" w:hint="cs"/>
          <w:b/>
          <w:bCs/>
          <w:sz w:val="24"/>
          <w:szCs w:val="24"/>
          <w:rtl/>
        </w:rPr>
        <w:t>מתחום</w:t>
      </w:r>
      <w:r w:rsidRPr="00FA31BD">
        <w:rPr>
          <w:rFonts w:cs="David"/>
          <w:b/>
          <w:bCs/>
          <w:sz w:val="24"/>
          <w:szCs w:val="24"/>
          <w:rtl/>
        </w:rPr>
        <w:t xml:space="preserve"> </w:t>
      </w:r>
      <w:r w:rsidRPr="00FA31BD">
        <w:rPr>
          <w:rFonts w:cs="David" w:hint="cs"/>
          <w:b/>
          <w:bCs/>
          <w:sz w:val="24"/>
          <w:szCs w:val="24"/>
          <w:rtl/>
        </w:rPr>
        <w:t>המשפט</w:t>
      </w:r>
      <w:r w:rsidRPr="00FA31BD">
        <w:rPr>
          <w:rFonts w:cs="David"/>
          <w:b/>
          <w:bCs/>
          <w:sz w:val="24"/>
          <w:szCs w:val="24"/>
          <w:rtl/>
        </w:rPr>
        <w:t xml:space="preserve"> </w:t>
      </w:r>
      <w:r w:rsidRPr="00FA31BD">
        <w:rPr>
          <w:rFonts w:cs="David" w:hint="cs"/>
          <w:b/>
          <w:bCs/>
          <w:sz w:val="24"/>
          <w:szCs w:val="24"/>
          <w:rtl/>
        </w:rPr>
        <w:t>הפרטי</w:t>
      </w:r>
      <w:r>
        <w:rPr>
          <w:rFonts w:cs="David" w:hint="cs"/>
          <w:sz w:val="24"/>
          <w:szCs w:val="24"/>
          <w:rtl/>
        </w:rPr>
        <w:t xml:space="preserve"> (בין העותר</w:t>
      </w:r>
      <w:r w:rsidR="005A2A44">
        <w:rPr>
          <w:rFonts w:cs="David" w:hint="cs"/>
          <w:sz w:val="24"/>
          <w:szCs w:val="24"/>
          <w:rtl/>
        </w:rPr>
        <w:t>ים</w:t>
      </w:r>
      <w:r>
        <w:rPr>
          <w:rFonts w:cs="David" w:hint="cs"/>
          <w:sz w:val="24"/>
          <w:szCs w:val="24"/>
          <w:rtl/>
        </w:rPr>
        <w:t xml:space="preserve"> לבין ה</w:t>
      </w:r>
      <w:r w:rsidR="005A2A44">
        <w:rPr>
          <w:rFonts w:cs="David" w:hint="cs"/>
          <w:sz w:val="24"/>
          <w:szCs w:val="24"/>
          <w:rtl/>
        </w:rPr>
        <w:t xml:space="preserve">פולשים - </w:t>
      </w:r>
      <w:r>
        <w:rPr>
          <w:rFonts w:cs="David" w:hint="cs"/>
          <w:sz w:val="24"/>
          <w:szCs w:val="24"/>
          <w:rtl/>
        </w:rPr>
        <w:t xml:space="preserve">ביחס לזכויות במקרקעין נשוא העתירה) כאשר </w:t>
      </w:r>
      <w:proofErr w:type="spellStart"/>
      <w:r>
        <w:rPr>
          <w:rFonts w:cs="David" w:hint="cs"/>
          <w:sz w:val="24"/>
          <w:szCs w:val="24"/>
          <w:rtl/>
        </w:rPr>
        <w:t>הסוגייה</w:t>
      </w:r>
      <w:proofErr w:type="spellEnd"/>
      <w:r>
        <w:rPr>
          <w:rFonts w:cs="David" w:hint="cs"/>
          <w:sz w:val="24"/>
          <w:szCs w:val="24"/>
          <w:rtl/>
        </w:rPr>
        <w:t xml:space="preserve"> </w:t>
      </w:r>
      <w:proofErr w:type="spellStart"/>
      <w:r>
        <w:rPr>
          <w:rFonts w:cs="David" w:hint="cs"/>
          <w:sz w:val="24"/>
          <w:szCs w:val="24"/>
          <w:rtl/>
        </w:rPr>
        <w:t>המינהלית</w:t>
      </w:r>
      <w:proofErr w:type="spellEnd"/>
      <w:r>
        <w:rPr>
          <w:rFonts w:cs="David" w:hint="cs"/>
          <w:sz w:val="24"/>
          <w:szCs w:val="24"/>
          <w:rtl/>
        </w:rPr>
        <w:t xml:space="preserve"> העומדת על הפרק הינה כוונת המשיבים להתערב, </w:t>
      </w:r>
      <w:r w:rsidRPr="008B1DC9">
        <w:rPr>
          <w:rFonts w:cs="David" w:hint="cs"/>
          <w:b/>
          <w:bCs/>
          <w:sz w:val="24"/>
          <w:szCs w:val="24"/>
          <w:u w:val="single"/>
          <w:rtl/>
        </w:rPr>
        <w:t xml:space="preserve">באופן </w:t>
      </w:r>
      <w:proofErr w:type="spellStart"/>
      <w:r w:rsidRPr="008B1DC9">
        <w:rPr>
          <w:rFonts w:cs="David" w:hint="cs"/>
          <w:b/>
          <w:bCs/>
          <w:sz w:val="24"/>
          <w:szCs w:val="24"/>
          <w:u w:val="single"/>
          <w:rtl/>
        </w:rPr>
        <w:t>מינהלי</w:t>
      </w:r>
      <w:proofErr w:type="spellEnd"/>
      <w:r>
        <w:rPr>
          <w:rFonts w:cs="David" w:hint="cs"/>
          <w:sz w:val="24"/>
          <w:szCs w:val="24"/>
          <w:rtl/>
        </w:rPr>
        <w:t>, בסכסוך הפרטי תוך הענקת זכות גישה למקרקעין ל</w:t>
      </w:r>
      <w:r w:rsidR="002C1574">
        <w:rPr>
          <w:rFonts w:cs="David" w:hint="cs"/>
          <w:sz w:val="24"/>
          <w:szCs w:val="24"/>
          <w:rtl/>
        </w:rPr>
        <w:t>פולשים</w:t>
      </w:r>
      <w:r w:rsidR="005A2A44">
        <w:rPr>
          <w:rFonts w:cs="David" w:hint="cs"/>
          <w:sz w:val="24"/>
          <w:szCs w:val="24"/>
          <w:rtl/>
        </w:rPr>
        <w:t xml:space="preserve"> </w:t>
      </w:r>
      <w:r w:rsidR="006D3837">
        <w:rPr>
          <w:rFonts w:cs="David" w:hint="cs"/>
          <w:sz w:val="24"/>
          <w:szCs w:val="24"/>
          <w:rtl/>
        </w:rPr>
        <w:t>ו</w:t>
      </w:r>
      <w:r>
        <w:rPr>
          <w:rFonts w:cs="David" w:hint="cs"/>
          <w:sz w:val="24"/>
          <w:szCs w:val="24"/>
          <w:rtl/>
        </w:rPr>
        <w:t>תוך פגיעה בהחזקת</w:t>
      </w:r>
      <w:r w:rsidR="005A2A44">
        <w:rPr>
          <w:rFonts w:cs="David" w:hint="cs"/>
          <w:sz w:val="24"/>
          <w:szCs w:val="24"/>
          <w:rtl/>
        </w:rPr>
        <w:t>ם</w:t>
      </w:r>
      <w:r>
        <w:rPr>
          <w:rFonts w:cs="David" w:hint="cs"/>
          <w:sz w:val="24"/>
          <w:szCs w:val="24"/>
          <w:rtl/>
        </w:rPr>
        <w:t xml:space="preserve"> </w:t>
      </w:r>
      <w:r w:rsidR="006D3837">
        <w:rPr>
          <w:rFonts w:cs="David" w:hint="cs"/>
          <w:sz w:val="24"/>
          <w:szCs w:val="24"/>
          <w:rtl/>
        </w:rPr>
        <w:t xml:space="preserve">רבת השנים </w:t>
      </w:r>
      <w:r>
        <w:rPr>
          <w:rFonts w:cs="David" w:hint="cs"/>
          <w:sz w:val="24"/>
          <w:szCs w:val="24"/>
          <w:rtl/>
        </w:rPr>
        <w:t>של העותר</w:t>
      </w:r>
      <w:r w:rsidR="005A2A44">
        <w:rPr>
          <w:rFonts w:cs="David" w:hint="cs"/>
          <w:sz w:val="24"/>
          <w:szCs w:val="24"/>
          <w:rtl/>
        </w:rPr>
        <w:t>ים</w:t>
      </w:r>
      <w:r>
        <w:rPr>
          <w:rFonts w:cs="David" w:hint="cs"/>
          <w:sz w:val="24"/>
          <w:szCs w:val="24"/>
          <w:rtl/>
        </w:rPr>
        <w:t xml:space="preserve"> במקרקעין.</w:t>
      </w:r>
    </w:p>
    <w:p w:rsidR="008B1DC9" w:rsidRDefault="008B1DC9" w:rsidP="005A2A44">
      <w:pPr>
        <w:pStyle w:val="a9"/>
        <w:numPr>
          <w:ilvl w:val="0"/>
          <w:numId w:val="1"/>
        </w:numPr>
        <w:bidi/>
        <w:spacing w:line="360" w:lineRule="auto"/>
        <w:ind w:hanging="720"/>
        <w:jc w:val="both"/>
        <w:rPr>
          <w:rFonts w:cs="David"/>
          <w:sz w:val="24"/>
          <w:szCs w:val="24"/>
        </w:rPr>
      </w:pPr>
      <w:r>
        <w:rPr>
          <w:rFonts w:cs="David" w:hint="cs"/>
          <w:sz w:val="24"/>
          <w:szCs w:val="24"/>
          <w:rtl/>
        </w:rPr>
        <w:t xml:space="preserve">מהו היקף הסמכות </w:t>
      </w:r>
      <w:proofErr w:type="spellStart"/>
      <w:r>
        <w:rPr>
          <w:rFonts w:cs="David" w:hint="cs"/>
          <w:sz w:val="24"/>
          <w:szCs w:val="24"/>
          <w:rtl/>
        </w:rPr>
        <w:t>המינהלית</w:t>
      </w:r>
      <w:proofErr w:type="spellEnd"/>
      <w:r>
        <w:rPr>
          <w:rFonts w:cs="David" w:hint="cs"/>
          <w:sz w:val="24"/>
          <w:szCs w:val="24"/>
          <w:rtl/>
        </w:rPr>
        <w:t xml:space="preserve"> הנתונה בידי המשיבים 1-3 ביחס להתערבות בסכסוך הפרטי, והאם קיימת סמכות שכזו בידי המשיבים 1-3 במקרה דנן?  העותר</w:t>
      </w:r>
      <w:r w:rsidR="005A2A44">
        <w:rPr>
          <w:rFonts w:cs="David" w:hint="cs"/>
          <w:sz w:val="24"/>
          <w:szCs w:val="24"/>
          <w:rtl/>
        </w:rPr>
        <w:t>ים</w:t>
      </w:r>
      <w:r>
        <w:rPr>
          <w:rFonts w:cs="David" w:hint="cs"/>
          <w:sz w:val="24"/>
          <w:szCs w:val="24"/>
          <w:rtl/>
        </w:rPr>
        <w:t xml:space="preserve"> סבור</w:t>
      </w:r>
      <w:r w:rsidR="003738EC">
        <w:rPr>
          <w:rFonts w:cs="David" w:hint="cs"/>
          <w:sz w:val="24"/>
          <w:szCs w:val="24"/>
          <w:rtl/>
        </w:rPr>
        <w:t>ים</w:t>
      </w:r>
      <w:r>
        <w:rPr>
          <w:rFonts w:cs="David" w:hint="cs"/>
          <w:sz w:val="24"/>
          <w:szCs w:val="24"/>
          <w:rtl/>
        </w:rPr>
        <w:t xml:space="preserve"> כי אין למשיבים 1-3 סמכות שבדין להתערב בסכסוך המקרקעין בנקודת הזמן </w:t>
      </w:r>
      <w:r w:rsidR="005A2A44">
        <w:rPr>
          <w:rFonts w:cs="David" w:hint="cs"/>
          <w:sz w:val="24"/>
          <w:szCs w:val="24"/>
          <w:rtl/>
        </w:rPr>
        <w:t xml:space="preserve">הנוכחית </w:t>
      </w:r>
      <w:r>
        <w:rPr>
          <w:rFonts w:cs="David" w:hint="cs"/>
          <w:sz w:val="24"/>
          <w:szCs w:val="24"/>
          <w:rtl/>
        </w:rPr>
        <w:t xml:space="preserve">ולאור הנתונים העובדתיים </w:t>
      </w:r>
      <w:r w:rsidR="005A2A44">
        <w:rPr>
          <w:rFonts w:cs="David" w:hint="cs"/>
          <w:sz w:val="24"/>
          <w:szCs w:val="24"/>
          <w:rtl/>
        </w:rPr>
        <w:t>כאמור לעיל</w:t>
      </w:r>
      <w:r>
        <w:rPr>
          <w:rFonts w:cs="David" w:hint="cs"/>
          <w:sz w:val="24"/>
          <w:szCs w:val="24"/>
          <w:rtl/>
        </w:rPr>
        <w:t>.</w:t>
      </w:r>
    </w:p>
    <w:p w:rsidR="008D4A7A" w:rsidRDefault="00B075EB" w:rsidP="008D4A7A">
      <w:pPr>
        <w:pStyle w:val="a9"/>
        <w:numPr>
          <w:ilvl w:val="0"/>
          <w:numId w:val="1"/>
        </w:numPr>
        <w:bidi/>
        <w:spacing w:line="360" w:lineRule="auto"/>
        <w:ind w:hanging="720"/>
        <w:jc w:val="both"/>
        <w:rPr>
          <w:rFonts w:cs="David"/>
          <w:sz w:val="24"/>
          <w:szCs w:val="24"/>
        </w:rPr>
      </w:pPr>
      <w:r>
        <w:rPr>
          <w:rFonts w:cs="David" w:hint="cs"/>
          <w:sz w:val="24"/>
          <w:szCs w:val="24"/>
          <w:rtl/>
        </w:rPr>
        <w:t xml:space="preserve">הלכה למעשה, לעניין </w:t>
      </w:r>
      <w:r w:rsidR="00883C9E">
        <w:rPr>
          <w:rFonts w:cs="David" w:hint="cs"/>
          <w:sz w:val="24"/>
          <w:szCs w:val="24"/>
          <w:rtl/>
        </w:rPr>
        <w:t xml:space="preserve">ההתערבות </w:t>
      </w:r>
      <w:proofErr w:type="spellStart"/>
      <w:r w:rsidR="00883C9E">
        <w:rPr>
          <w:rFonts w:cs="David" w:hint="cs"/>
          <w:sz w:val="24"/>
          <w:szCs w:val="24"/>
          <w:rtl/>
        </w:rPr>
        <w:t>המינהלית</w:t>
      </w:r>
      <w:proofErr w:type="spellEnd"/>
      <w:r w:rsidR="00883C9E">
        <w:rPr>
          <w:rFonts w:cs="David" w:hint="cs"/>
          <w:sz w:val="24"/>
          <w:szCs w:val="24"/>
          <w:rtl/>
        </w:rPr>
        <w:t xml:space="preserve"> ב</w:t>
      </w:r>
      <w:r>
        <w:rPr>
          <w:rFonts w:cs="David" w:hint="cs"/>
          <w:sz w:val="24"/>
          <w:szCs w:val="24"/>
          <w:rtl/>
        </w:rPr>
        <w:t>סכסוכים</w:t>
      </w:r>
      <w:r w:rsidR="00883C9E">
        <w:rPr>
          <w:rFonts w:cs="David" w:hint="cs"/>
          <w:sz w:val="24"/>
          <w:szCs w:val="24"/>
          <w:rtl/>
        </w:rPr>
        <w:t xml:space="preserve"> פרטיים</w:t>
      </w:r>
      <w:r>
        <w:rPr>
          <w:rFonts w:cs="David" w:hint="cs"/>
          <w:sz w:val="24"/>
          <w:szCs w:val="24"/>
          <w:rtl/>
        </w:rPr>
        <w:t xml:space="preserve"> הנוגעים לשימושים חקלאיים באזור יהודה ושומרון חוקק על ידי המשיבים</w:t>
      </w:r>
      <w:r w:rsidR="00883C9E">
        <w:rPr>
          <w:rFonts w:cs="David" w:hint="cs"/>
          <w:sz w:val="24"/>
          <w:szCs w:val="24"/>
          <w:rtl/>
        </w:rPr>
        <w:t xml:space="preserve"> 1-3</w:t>
      </w:r>
      <w:r>
        <w:rPr>
          <w:rFonts w:cs="David" w:hint="cs"/>
          <w:sz w:val="24"/>
          <w:szCs w:val="24"/>
          <w:rtl/>
        </w:rPr>
        <w:t xml:space="preserve"> הצו הידוע כ"צו שימוש מפריע" (</w:t>
      </w:r>
      <w:r w:rsidRPr="008D4A7A">
        <w:rPr>
          <w:rFonts w:ascii="David" w:hAnsi="David" w:cs="David" w:hint="cs"/>
          <w:b/>
          <w:bCs/>
          <w:sz w:val="24"/>
          <w:szCs w:val="24"/>
          <w:rtl/>
        </w:rPr>
        <w:t xml:space="preserve">הצו בדבר מקרקעין (שימוש מפריע במקרקעין פרטיים)(יהודה ושומרון)(מס' 1586) </w:t>
      </w:r>
      <w:proofErr w:type="spellStart"/>
      <w:r w:rsidRPr="008D4A7A">
        <w:rPr>
          <w:rFonts w:ascii="David" w:hAnsi="David" w:cs="David" w:hint="cs"/>
          <w:b/>
          <w:bCs/>
          <w:sz w:val="24"/>
          <w:szCs w:val="24"/>
          <w:rtl/>
        </w:rPr>
        <w:t>התשס"ז</w:t>
      </w:r>
      <w:proofErr w:type="spellEnd"/>
      <w:r w:rsidRPr="008D4A7A">
        <w:rPr>
          <w:rFonts w:ascii="David" w:hAnsi="David" w:cs="David" w:hint="cs"/>
          <w:b/>
          <w:bCs/>
          <w:sz w:val="24"/>
          <w:szCs w:val="24"/>
          <w:rtl/>
        </w:rPr>
        <w:t xml:space="preserve"> </w:t>
      </w:r>
      <w:r w:rsidRPr="008D4A7A">
        <w:rPr>
          <w:rFonts w:ascii="David" w:hAnsi="David" w:cs="David"/>
          <w:b/>
          <w:bCs/>
          <w:sz w:val="24"/>
          <w:szCs w:val="24"/>
          <w:rtl/>
        </w:rPr>
        <w:t>–</w:t>
      </w:r>
      <w:r w:rsidRPr="008D4A7A">
        <w:rPr>
          <w:rFonts w:ascii="David" w:hAnsi="David" w:cs="David" w:hint="cs"/>
          <w:b/>
          <w:bCs/>
          <w:sz w:val="24"/>
          <w:szCs w:val="24"/>
          <w:rtl/>
        </w:rPr>
        <w:t xml:space="preserve"> 2007</w:t>
      </w:r>
      <w:r>
        <w:rPr>
          <w:rFonts w:ascii="David" w:hAnsi="David" w:cs="David" w:hint="cs"/>
          <w:sz w:val="24"/>
          <w:szCs w:val="24"/>
          <w:rtl/>
        </w:rPr>
        <w:t xml:space="preserve">). </w:t>
      </w:r>
    </w:p>
    <w:p w:rsidR="008D4A7A" w:rsidRPr="008D4A7A" w:rsidRDefault="008D4A7A" w:rsidP="008D4A7A">
      <w:pPr>
        <w:pStyle w:val="a9"/>
        <w:numPr>
          <w:ilvl w:val="0"/>
          <w:numId w:val="1"/>
        </w:numPr>
        <w:bidi/>
        <w:spacing w:line="360" w:lineRule="auto"/>
        <w:ind w:hanging="720"/>
        <w:jc w:val="both"/>
        <w:rPr>
          <w:rFonts w:cs="David"/>
          <w:sz w:val="24"/>
          <w:szCs w:val="24"/>
          <w:rtl/>
        </w:rPr>
      </w:pPr>
      <w:r w:rsidRPr="008D4A7A">
        <w:rPr>
          <w:rFonts w:cs="David" w:hint="cs"/>
          <w:sz w:val="24"/>
          <w:szCs w:val="24"/>
          <w:rtl/>
        </w:rPr>
        <w:lastRenderedPageBreak/>
        <w:t>כזכור בצו שימוש מפריע נקבעה מגבלה לפיה</w:t>
      </w:r>
      <w:r w:rsidR="00883C9E">
        <w:rPr>
          <w:rFonts w:cs="David" w:hint="cs"/>
          <w:sz w:val="24"/>
          <w:szCs w:val="24"/>
          <w:rtl/>
        </w:rPr>
        <w:t>,</w:t>
      </w:r>
      <w:r w:rsidRPr="008D4A7A">
        <w:rPr>
          <w:rFonts w:cs="David" w:hint="cs"/>
          <w:sz w:val="24"/>
          <w:szCs w:val="24"/>
          <w:rtl/>
        </w:rPr>
        <w:t xml:space="preserve"> בחלוף חמש שנים מיום הירידה למקרקעין </w:t>
      </w:r>
      <w:r w:rsidRPr="008D4A7A">
        <w:rPr>
          <w:rFonts w:cs="David"/>
          <w:sz w:val="24"/>
          <w:szCs w:val="24"/>
          <w:rtl/>
        </w:rPr>
        <w:t>–</w:t>
      </w:r>
      <w:r w:rsidRPr="008D4A7A">
        <w:rPr>
          <w:rFonts w:cs="David" w:hint="cs"/>
          <w:sz w:val="24"/>
          <w:szCs w:val="24"/>
          <w:rtl/>
        </w:rPr>
        <w:t xml:space="preserve"> לא ניתן להשתמש בצו שימוש מפריע כלפי המחזיק בקרקע. ב</w:t>
      </w:r>
      <w:r w:rsidRPr="008D4A7A">
        <w:rPr>
          <w:rFonts w:cs="David"/>
          <w:sz w:val="24"/>
          <w:szCs w:val="24"/>
          <w:rtl/>
        </w:rPr>
        <w:t>פסה"ד בעניין חושיה</w:t>
      </w:r>
      <w:r>
        <w:rPr>
          <w:rStyle w:val="af5"/>
          <w:rFonts w:cs="David"/>
          <w:sz w:val="24"/>
          <w:szCs w:val="24"/>
          <w:rtl/>
        </w:rPr>
        <w:footnoteReference w:id="6"/>
      </w:r>
      <w:r w:rsidRPr="008D4A7A">
        <w:rPr>
          <w:rFonts w:cs="David"/>
          <w:sz w:val="24"/>
          <w:szCs w:val="24"/>
          <w:rtl/>
        </w:rPr>
        <w:t xml:space="preserve"> (</w:t>
      </w:r>
      <w:r w:rsidRPr="008D4A7A">
        <w:rPr>
          <w:rFonts w:cs="David" w:hint="cs"/>
          <w:sz w:val="24"/>
          <w:szCs w:val="24"/>
          <w:rtl/>
        </w:rPr>
        <w:t xml:space="preserve">להלן: "עניין </w:t>
      </w:r>
      <w:r w:rsidRPr="008D4A7A">
        <w:rPr>
          <w:rFonts w:cs="David"/>
          <w:sz w:val="24"/>
          <w:szCs w:val="24"/>
          <w:rtl/>
        </w:rPr>
        <w:t>חושיה</w:t>
      </w:r>
      <w:r w:rsidRPr="008D4A7A">
        <w:rPr>
          <w:rFonts w:cs="David" w:hint="cs"/>
          <w:sz w:val="24"/>
          <w:szCs w:val="24"/>
          <w:rtl/>
        </w:rPr>
        <w:t>"</w:t>
      </w:r>
      <w:r w:rsidRPr="008D4A7A">
        <w:rPr>
          <w:rFonts w:cs="David"/>
          <w:sz w:val="24"/>
          <w:szCs w:val="24"/>
          <w:rtl/>
        </w:rPr>
        <w:t>)</w:t>
      </w:r>
      <w:r w:rsidRPr="008D4A7A">
        <w:rPr>
          <w:rFonts w:cs="David" w:hint="cs"/>
          <w:sz w:val="24"/>
          <w:szCs w:val="24"/>
          <w:rtl/>
        </w:rPr>
        <w:t xml:space="preserve"> </w:t>
      </w:r>
      <w:r w:rsidRPr="008D4A7A">
        <w:rPr>
          <w:rFonts w:cs="David"/>
          <w:sz w:val="24"/>
          <w:szCs w:val="24"/>
          <w:rtl/>
        </w:rPr>
        <w:t xml:space="preserve"> מנתח בית המשפט את תכליתו של הצו </w:t>
      </w:r>
      <w:r w:rsidRPr="008D4A7A">
        <w:rPr>
          <w:rFonts w:cs="David" w:hint="cs"/>
          <w:sz w:val="24"/>
          <w:szCs w:val="24"/>
          <w:rtl/>
        </w:rPr>
        <w:t>ו</w:t>
      </w:r>
      <w:r w:rsidRPr="008D4A7A">
        <w:rPr>
          <w:rFonts w:cs="David"/>
          <w:sz w:val="24"/>
          <w:szCs w:val="24"/>
          <w:rtl/>
        </w:rPr>
        <w:t>מציין כי:</w:t>
      </w:r>
    </w:p>
    <w:p w:rsidR="008D4A7A" w:rsidRPr="009B1D92" w:rsidRDefault="008D4A7A" w:rsidP="008D4A7A">
      <w:pPr>
        <w:pStyle w:val="a9"/>
        <w:bidi/>
        <w:spacing w:line="360" w:lineRule="auto"/>
        <w:ind w:left="1422" w:right="851"/>
        <w:jc w:val="both"/>
        <w:rPr>
          <w:rFonts w:cs="David"/>
          <w:b/>
          <w:bCs/>
          <w:sz w:val="24"/>
          <w:szCs w:val="24"/>
        </w:rPr>
      </w:pPr>
      <w:r w:rsidRPr="009B1D92">
        <w:rPr>
          <w:rFonts w:cs="David"/>
          <w:b/>
          <w:bCs/>
          <w:sz w:val="24"/>
          <w:szCs w:val="24"/>
          <w:rtl/>
        </w:rPr>
        <w:t>"תנאי חמש השנים נועד לאזן בין הצורך במתן הגנה אפקטיבית למי שנושל מאדמותיו לבין אינטרס הציבור להמעיט בשימוש בכוח, ללא צו שיפוטי, בהחזרת חזקה במקרקעין לבעליה"</w:t>
      </w:r>
      <w:r w:rsidRPr="008D4A7A">
        <w:rPr>
          <w:vertAlign w:val="superscript"/>
          <w:rtl/>
        </w:rPr>
        <w:footnoteReference w:id="7"/>
      </w:r>
      <w:r w:rsidRPr="009B1D92">
        <w:rPr>
          <w:rFonts w:cs="David"/>
          <w:b/>
          <w:bCs/>
          <w:sz w:val="24"/>
          <w:szCs w:val="24"/>
          <w:rtl/>
        </w:rPr>
        <w:t>.</w:t>
      </w:r>
    </w:p>
    <w:p w:rsidR="008D4A7A" w:rsidRDefault="008D4A7A" w:rsidP="008D4A7A">
      <w:pPr>
        <w:pStyle w:val="a9"/>
        <w:numPr>
          <w:ilvl w:val="0"/>
          <w:numId w:val="1"/>
        </w:numPr>
        <w:bidi/>
        <w:spacing w:line="360" w:lineRule="auto"/>
        <w:ind w:hanging="720"/>
        <w:jc w:val="both"/>
        <w:rPr>
          <w:rFonts w:cs="David"/>
          <w:sz w:val="24"/>
          <w:szCs w:val="24"/>
        </w:rPr>
      </w:pPr>
      <w:r>
        <w:rPr>
          <w:rFonts w:cs="David" w:hint="cs"/>
          <w:sz w:val="24"/>
          <w:szCs w:val="24"/>
          <w:rtl/>
        </w:rPr>
        <w:t xml:space="preserve">כלומר, מגבלת חמש השנים על השימוש בצו המפריע נועדה להגן על זכות החזקה של המחזיק במקרקעין ולחייב את הטוען לזכויות במקרקעין לפנות לקבלת סעד שיפוטי תוך חסימת הסעד </w:t>
      </w:r>
      <w:proofErr w:type="spellStart"/>
      <w:r>
        <w:rPr>
          <w:rFonts w:cs="David" w:hint="cs"/>
          <w:sz w:val="24"/>
          <w:szCs w:val="24"/>
          <w:rtl/>
        </w:rPr>
        <w:t>המינהלי</w:t>
      </w:r>
      <w:proofErr w:type="spellEnd"/>
      <w:r>
        <w:rPr>
          <w:rFonts w:cs="David" w:hint="cs"/>
          <w:sz w:val="24"/>
          <w:szCs w:val="24"/>
          <w:rtl/>
        </w:rPr>
        <w:t xml:space="preserve"> הגלום בצו שימוש מפריע.</w:t>
      </w:r>
    </w:p>
    <w:p w:rsidR="006D3837" w:rsidRDefault="006D3837" w:rsidP="005A2A44">
      <w:pPr>
        <w:pStyle w:val="a9"/>
        <w:numPr>
          <w:ilvl w:val="0"/>
          <w:numId w:val="1"/>
        </w:numPr>
        <w:bidi/>
        <w:spacing w:line="360" w:lineRule="auto"/>
        <w:ind w:hanging="720"/>
        <w:jc w:val="both"/>
        <w:rPr>
          <w:rFonts w:cs="David"/>
          <w:sz w:val="24"/>
          <w:szCs w:val="24"/>
        </w:rPr>
      </w:pPr>
      <w:r>
        <w:rPr>
          <w:rFonts w:cs="David" w:hint="cs"/>
          <w:sz w:val="24"/>
          <w:szCs w:val="24"/>
          <w:rtl/>
        </w:rPr>
        <w:t>ברור אם כן כי במקרה דנן בו כבר חלפו למעלה מחמש שנים מיום תחילת החזקת העותר</w:t>
      </w:r>
      <w:r w:rsidR="005A2A44">
        <w:rPr>
          <w:rFonts w:cs="David" w:hint="cs"/>
          <w:sz w:val="24"/>
          <w:szCs w:val="24"/>
          <w:rtl/>
        </w:rPr>
        <w:t>ים</w:t>
      </w:r>
      <w:r>
        <w:rPr>
          <w:rFonts w:cs="David" w:hint="cs"/>
          <w:sz w:val="24"/>
          <w:szCs w:val="24"/>
          <w:rtl/>
        </w:rPr>
        <w:t xml:space="preserve"> במקרקעין </w:t>
      </w:r>
      <w:r>
        <w:rPr>
          <w:rFonts w:cs="David"/>
          <w:sz w:val="24"/>
          <w:szCs w:val="24"/>
          <w:rtl/>
        </w:rPr>
        <w:t>–</w:t>
      </w:r>
      <w:r>
        <w:rPr>
          <w:rFonts w:cs="David" w:hint="cs"/>
          <w:sz w:val="24"/>
          <w:szCs w:val="24"/>
          <w:rtl/>
        </w:rPr>
        <w:t xml:space="preserve"> לא ניתן להוציא צו שימוש מפריע כנגד החזקת</w:t>
      </w:r>
      <w:r w:rsidR="005A2A44">
        <w:rPr>
          <w:rFonts w:cs="David" w:hint="cs"/>
          <w:sz w:val="24"/>
          <w:szCs w:val="24"/>
          <w:rtl/>
        </w:rPr>
        <w:t xml:space="preserve"> זו</w:t>
      </w:r>
      <w:r>
        <w:rPr>
          <w:rFonts w:cs="David" w:hint="cs"/>
          <w:sz w:val="24"/>
          <w:szCs w:val="24"/>
          <w:rtl/>
        </w:rPr>
        <w:t>.</w:t>
      </w:r>
    </w:p>
    <w:p w:rsidR="005A2A44" w:rsidRDefault="002C1574" w:rsidP="002C1574">
      <w:pPr>
        <w:pStyle w:val="a9"/>
        <w:numPr>
          <w:ilvl w:val="0"/>
          <w:numId w:val="1"/>
        </w:numPr>
        <w:bidi/>
        <w:spacing w:line="360" w:lineRule="auto"/>
        <w:ind w:hanging="720"/>
        <w:jc w:val="both"/>
        <w:rPr>
          <w:rFonts w:cs="David"/>
          <w:sz w:val="24"/>
          <w:szCs w:val="24"/>
        </w:rPr>
      </w:pPr>
      <w:r>
        <w:rPr>
          <w:rFonts w:cs="David" w:hint="cs"/>
          <w:sz w:val="24"/>
          <w:szCs w:val="24"/>
          <w:rtl/>
        </w:rPr>
        <w:t>ואכן, המשיבים</w:t>
      </w:r>
      <w:r w:rsidR="006D3837">
        <w:rPr>
          <w:rFonts w:cs="David" w:hint="cs"/>
          <w:sz w:val="24"/>
          <w:szCs w:val="24"/>
          <w:rtl/>
        </w:rPr>
        <w:t xml:space="preserve"> לא פנו לעותר</w:t>
      </w:r>
      <w:r w:rsidR="005A2A44">
        <w:rPr>
          <w:rFonts w:cs="David" w:hint="cs"/>
          <w:sz w:val="24"/>
          <w:szCs w:val="24"/>
          <w:rtl/>
        </w:rPr>
        <w:t>ים</w:t>
      </w:r>
      <w:r w:rsidR="006D3837">
        <w:rPr>
          <w:rFonts w:cs="David" w:hint="cs"/>
          <w:sz w:val="24"/>
          <w:szCs w:val="24"/>
          <w:rtl/>
        </w:rPr>
        <w:t xml:space="preserve"> בדרישה לפינוי המקרקעין על פי צו שימוש מפריע אלא הסתפקו בהודעה לפיה הם מכניסים את ה</w:t>
      </w:r>
      <w:r w:rsidR="005A2A44">
        <w:rPr>
          <w:rFonts w:cs="David" w:hint="cs"/>
          <w:sz w:val="24"/>
          <w:szCs w:val="24"/>
          <w:rtl/>
        </w:rPr>
        <w:t xml:space="preserve">פולשים למקרקעין </w:t>
      </w:r>
      <w:r w:rsidR="005A2A44">
        <w:rPr>
          <w:rFonts w:cs="David"/>
          <w:sz w:val="24"/>
          <w:szCs w:val="24"/>
          <w:rtl/>
        </w:rPr>
        <w:t>–</w:t>
      </w:r>
      <w:r w:rsidR="005A2A44">
        <w:rPr>
          <w:rFonts w:cs="David" w:hint="cs"/>
          <w:sz w:val="24"/>
          <w:szCs w:val="24"/>
          <w:rtl/>
        </w:rPr>
        <w:t xml:space="preserve"> בלי ביצוע כל הליך מנהלי מקדים.</w:t>
      </w:r>
    </w:p>
    <w:p w:rsidR="006D3837" w:rsidRDefault="005A2A44" w:rsidP="005A2A44">
      <w:pPr>
        <w:pStyle w:val="a9"/>
        <w:numPr>
          <w:ilvl w:val="0"/>
          <w:numId w:val="1"/>
        </w:numPr>
        <w:bidi/>
        <w:spacing w:line="360" w:lineRule="auto"/>
        <w:ind w:hanging="720"/>
        <w:jc w:val="both"/>
        <w:rPr>
          <w:rFonts w:cs="David"/>
          <w:sz w:val="24"/>
          <w:szCs w:val="24"/>
        </w:rPr>
      </w:pPr>
      <w:r>
        <w:rPr>
          <w:rFonts w:cs="David" w:hint="cs"/>
          <w:sz w:val="24"/>
          <w:szCs w:val="24"/>
          <w:rtl/>
        </w:rPr>
        <w:t xml:space="preserve">בכל הכבוד הראוי </w:t>
      </w:r>
      <w:r>
        <w:rPr>
          <w:rFonts w:cs="David"/>
          <w:sz w:val="24"/>
          <w:szCs w:val="24"/>
          <w:rtl/>
        </w:rPr>
        <w:t>–</w:t>
      </w:r>
      <w:r>
        <w:rPr>
          <w:rFonts w:cs="David" w:hint="cs"/>
          <w:sz w:val="24"/>
          <w:szCs w:val="24"/>
          <w:rtl/>
        </w:rPr>
        <w:t xml:space="preserve"> מדובר בחריגה קיצונית מסמכותם </w:t>
      </w:r>
      <w:proofErr w:type="spellStart"/>
      <w:r>
        <w:rPr>
          <w:rFonts w:cs="David" w:hint="cs"/>
          <w:sz w:val="24"/>
          <w:szCs w:val="24"/>
          <w:rtl/>
        </w:rPr>
        <w:t>המינהלית</w:t>
      </w:r>
      <w:proofErr w:type="spellEnd"/>
      <w:r>
        <w:rPr>
          <w:rFonts w:cs="David" w:hint="cs"/>
          <w:sz w:val="24"/>
          <w:szCs w:val="24"/>
          <w:rtl/>
        </w:rPr>
        <w:t xml:space="preserve"> של המשיבים ולמעשה מבוצע על ידי המשיבים מחטף של מקרקעין בריש גלי </w:t>
      </w:r>
      <w:r w:rsidRPr="002C1574">
        <w:rPr>
          <w:rFonts w:cs="David" w:hint="cs"/>
          <w:b/>
          <w:bCs/>
          <w:sz w:val="24"/>
          <w:szCs w:val="24"/>
          <w:rtl/>
        </w:rPr>
        <w:t>תוך ניצול העובדה שמדובר בשלטון צבאי.</w:t>
      </w:r>
    </w:p>
    <w:p w:rsidR="008D4A7A" w:rsidRPr="00B075EB" w:rsidRDefault="005A2B49" w:rsidP="00883C9E">
      <w:pPr>
        <w:pStyle w:val="a9"/>
        <w:numPr>
          <w:ilvl w:val="0"/>
          <w:numId w:val="1"/>
        </w:numPr>
        <w:bidi/>
        <w:spacing w:line="360" w:lineRule="auto"/>
        <w:ind w:hanging="720"/>
        <w:jc w:val="both"/>
        <w:rPr>
          <w:rFonts w:cs="David"/>
          <w:sz w:val="24"/>
          <w:szCs w:val="24"/>
        </w:rPr>
      </w:pPr>
      <w:r>
        <w:rPr>
          <w:rFonts w:cs="David" w:hint="cs"/>
          <w:sz w:val="24"/>
          <w:szCs w:val="24"/>
          <w:rtl/>
        </w:rPr>
        <w:t xml:space="preserve">יתירה מכך - </w:t>
      </w:r>
      <w:r w:rsidR="008D4A7A">
        <w:rPr>
          <w:rFonts w:cs="David" w:hint="cs"/>
          <w:sz w:val="24"/>
          <w:szCs w:val="24"/>
          <w:rtl/>
        </w:rPr>
        <w:t>האם רשאים המשיבים</w:t>
      </w:r>
      <w:r w:rsidR="00883C9E">
        <w:rPr>
          <w:rFonts w:cs="David" w:hint="cs"/>
          <w:sz w:val="24"/>
          <w:szCs w:val="24"/>
          <w:rtl/>
        </w:rPr>
        <w:t xml:space="preserve"> 1-3 </w:t>
      </w:r>
      <w:r w:rsidR="008D4A7A">
        <w:rPr>
          <w:rFonts w:cs="David" w:hint="cs"/>
          <w:sz w:val="24"/>
          <w:szCs w:val="24"/>
          <w:rtl/>
        </w:rPr>
        <w:t>להשתמש בכלי</w:t>
      </w:r>
      <w:r w:rsidR="00883C9E">
        <w:rPr>
          <w:rFonts w:cs="David" w:hint="cs"/>
          <w:sz w:val="24"/>
          <w:szCs w:val="24"/>
          <w:rtl/>
        </w:rPr>
        <w:t xml:space="preserve">ם </w:t>
      </w:r>
      <w:proofErr w:type="spellStart"/>
      <w:r w:rsidR="008D4A7A">
        <w:rPr>
          <w:rFonts w:cs="David" w:hint="cs"/>
          <w:sz w:val="24"/>
          <w:szCs w:val="24"/>
          <w:rtl/>
        </w:rPr>
        <w:t>מינהלי</w:t>
      </w:r>
      <w:r w:rsidR="00883C9E">
        <w:rPr>
          <w:rFonts w:cs="David" w:hint="cs"/>
          <w:sz w:val="24"/>
          <w:szCs w:val="24"/>
          <w:rtl/>
        </w:rPr>
        <w:t>ים</w:t>
      </w:r>
      <w:proofErr w:type="spellEnd"/>
      <w:r w:rsidR="00883C9E">
        <w:rPr>
          <w:rFonts w:cs="David" w:hint="cs"/>
          <w:sz w:val="24"/>
          <w:szCs w:val="24"/>
          <w:rtl/>
        </w:rPr>
        <w:t xml:space="preserve"> אחרים בכדי </w:t>
      </w:r>
      <w:r w:rsidR="008D4A7A">
        <w:rPr>
          <w:rFonts w:cs="David" w:hint="cs"/>
          <w:sz w:val="24"/>
          <w:szCs w:val="24"/>
          <w:rtl/>
        </w:rPr>
        <w:t>לעקוף את</w:t>
      </w:r>
      <w:r w:rsidR="00883C9E">
        <w:rPr>
          <w:rFonts w:cs="David" w:hint="cs"/>
          <w:sz w:val="24"/>
          <w:szCs w:val="24"/>
          <w:rtl/>
        </w:rPr>
        <w:t xml:space="preserve"> מגבלת חמש השנים הקבועה בצו שימוש מפריע</w:t>
      </w:r>
      <w:r w:rsidR="008D4A7A">
        <w:rPr>
          <w:rFonts w:cs="David" w:hint="cs"/>
          <w:sz w:val="24"/>
          <w:szCs w:val="24"/>
          <w:rtl/>
        </w:rPr>
        <w:t>?  בכל הכבוד</w:t>
      </w:r>
      <w:r w:rsidR="00313D80">
        <w:rPr>
          <w:rFonts w:cs="David" w:hint="cs"/>
          <w:sz w:val="24"/>
          <w:szCs w:val="24"/>
          <w:rtl/>
        </w:rPr>
        <w:t>,</w:t>
      </w:r>
      <w:r w:rsidR="008D4A7A">
        <w:rPr>
          <w:rFonts w:cs="David" w:hint="cs"/>
          <w:sz w:val="24"/>
          <w:szCs w:val="24"/>
          <w:rtl/>
        </w:rPr>
        <w:t xml:space="preserve"> נ</w:t>
      </w:r>
      <w:r w:rsidR="00FC4C98">
        <w:rPr>
          <w:rFonts w:cs="David" w:hint="cs"/>
          <w:sz w:val="24"/>
          <w:szCs w:val="24"/>
          <w:rtl/>
        </w:rPr>
        <w:t xml:space="preserve">ראה </w:t>
      </w:r>
      <w:r w:rsidR="00883C9E">
        <w:rPr>
          <w:rFonts w:cs="David" w:hint="cs"/>
          <w:sz w:val="24"/>
          <w:szCs w:val="24"/>
          <w:rtl/>
        </w:rPr>
        <w:t xml:space="preserve">כי בית המשפט העליון קבע כי </w:t>
      </w:r>
      <w:r w:rsidR="00FC4C98">
        <w:rPr>
          <w:rFonts w:cs="David" w:hint="cs"/>
          <w:sz w:val="24"/>
          <w:szCs w:val="24"/>
          <w:rtl/>
        </w:rPr>
        <w:t xml:space="preserve">התשובה לכך שלילית. </w:t>
      </w:r>
    </w:p>
    <w:p w:rsidR="00D1256B" w:rsidRDefault="009D236B" w:rsidP="005A2B49">
      <w:pPr>
        <w:pStyle w:val="a9"/>
        <w:numPr>
          <w:ilvl w:val="0"/>
          <w:numId w:val="1"/>
        </w:numPr>
        <w:bidi/>
        <w:spacing w:line="360" w:lineRule="auto"/>
        <w:ind w:hanging="720"/>
        <w:jc w:val="both"/>
        <w:rPr>
          <w:rFonts w:cs="David"/>
          <w:sz w:val="24"/>
          <w:szCs w:val="24"/>
        </w:rPr>
      </w:pPr>
      <w:r>
        <w:rPr>
          <w:rFonts w:cs="David" w:hint="cs"/>
          <w:sz w:val="24"/>
          <w:szCs w:val="24"/>
          <w:rtl/>
        </w:rPr>
        <w:t>רא</w:t>
      </w:r>
      <w:r w:rsidR="006D3837">
        <w:rPr>
          <w:rFonts w:cs="David" w:hint="cs"/>
          <w:sz w:val="24"/>
          <w:szCs w:val="24"/>
          <w:rtl/>
        </w:rPr>
        <w:t>שי</w:t>
      </w:r>
      <w:r>
        <w:rPr>
          <w:rFonts w:cs="David" w:hint="cs"/>
          <w:sz w:val="24"/>
          <w:szCs w:val="24"/>
          <w:rtl/>
        </w:rPr>
        <w:t xml:space="preserve">ת, </w:t>
      </w:r>
      <w:r w:rsidR="00D1256B">
        <w:rPr>
          <w:rFonts w:cs="David" w:hint="cs"/>
          <w:sz w:val="24"/>
          <w:szCs w:val="24"/>
          <w:rtl/>
        </w:rPr>
        <w:t>ברור</w:t>
      </w:r>
      <w:r w:rsidR="00B35612">
        <w:rPr>
          <w:rFonts w:cs="David" w:hint="cs"/>
          <w:sz w:val="24"/>
          <w:szCs w:val="24"/>
          <w:rtl/>
        </w:rPr>
        <w:t xml:space="preserve"> כשמש</w:t>
      </w:r>
      <w:r>
        <w:rPr>
          <w:rFonts w:cs="David" w:hint="cs"/>
          <w:sz w:val="24"/>
          <w:szCs w:val="24"/>
          <w:rtl/>
        </w:rPr>
        <w:t>,</w:t>
      </w:r>
      <w:r w:rsidR="00D1256B">
        <w:rPr>
          <w:rFonts w:cs="David" w:hint="cs"/>
          <w:sz w:val="24"/>
          <w:szCs w:val="24"/>
          <w:rtl/>
        </w:rPr>
        <w:t xml:space="preserve"> כי נטילת הגנת חמש השנים מהעותר</w:t>
      </w:r>
      <w:r w:rsidR="005A2B49">
        <w:rPr>
          <w:rFonts w:cs="David" w:hint="cs"/>
          <w:sz w:val="24"/>
          <w:szCs w:val="24"/>
          <w:rtl/>
        </w:rPr>
        <w:t>ים</w:t>
      </w:r>
      <w:r w:rsidR="00D1256B">
        <w:rPr>
          <w:rFonts w:cs="David" w:hint="cs"/>
          <w:sz w:val="24"/>
          <w:szCs w:val="24"/>
          <w:rtl/>
        </w:rPr>
        <w:t xml:space="preserve"> </w:t>
      </w:r>
      <w:r w:rsidR="001E1844">
        <w:rPr>
          <w:rFonts w:cs="David" w:hint="cs"/>
          <w:sz w:val="24"/>
          <w:szCs w:val="24"/>
          <w:rtl/>
        </w:rPr>
        <w:t>-</w:t>
      </w:r>
      <w:r w:rsidR="00D1256B">
        <w:rPr>
          <w:rFonts w:cs="David" w:hint="cs"/>
          <w:sz w:val="24"/>
          <w:szCs w:val="24"/>
          <w:rtl/>
        </w:rPr>
        <w:t xml:space="preserve"> מהווה פגיעה בלתי מידתית בזכויותי</w:t>
      </w:r>
      <w:r w:rsidR="005A2B49">
        <w:rPr>
          <w:rFonts w:cs="David" w:hint="cs"/>
          <w:sz w:val="24"/>
          <w:szCs w:val="24"/>
          <w:rtl/>
        </w:rPr>
        <w:t>הם</w:t>
      </w:r>
      <w:r w:rsidR="006D3837">
        <w:rPr>
          <w:rFonts w:cs="David" w:hint="cs"/>
          <w:sz w:val="24"/>
          <w:szCs w:val="24"/>
          <w:rtl/>
        </w:rPr>
        <w:t xml:space="preserve">, שכן מגבלת חמש השנים מבוססת על רציונל של הגנת זכותו </w:t>
      </w:r>
      <w:r w:rsidR="009B3948">
        <w:rPr>
          <w:rFonts w:cs="David" w:hint="cs"/>
          <w:sz w:val="24"/>
          <w:szCs w:val="24"/>
          <w:rtl/>
        </w:rPr>
        <w:t xml:space="preserve">של </w:t>
      </w:r>
      <w:r w:rsidR="006D3837">
        <w:rPr>
          <w:rFonts w:cs="David" w:hint="cs"/>
          <w:sz w:val="24"/>
          <w:szCs w:val="24"/>
          <w:rtl/>
        </w:rPr>
        <w:t>המחזיק במקרקעין, כאמור לעיל.</w:t>
      </w:r>
    </w:p>
    <w:p w:rsidR="00D1256B" w:rsidRDefault="00D1256B" w:rsidP="00D1256B">
      <w:pPr>
        <w:pStyle w:val="a9"/>
        <w:numPr>
          <w:ilvl w:val="0"/>
          <w:numId w:val="1"/>
        </w:numPr>
        <w:bidi/>
        <w:spacing w:line="360" w:lineRule="auto"/>
        <w:ind w:hanging="720"/>
        <w:jc w:val="both"/>
        <w:rPr>
          <w:rFonts w:cs="David"/>
          <w:sz w:val="24"/>
          <w:szCs w:val="24"/>
        </w:rPr>
      </w:pPr>
      <w:r>
        <w:rPr>
          <w:rFonts w:cs="David" w:hint="cs"/>
          <w:sz w:val="24"/>
          <w:szCs w:val="24"/>
          <w:rtl/>
        </w:rPr>
        <w:t xml:space="preserve">ואם לא די בכך </w:t>
      </w:r>
      <w:r>
        <w:rPr>
          <w:rFonts w:cs="David"/>
          <w:sz w:val="24"/>
          <w:szCs w:val="24"/>
          <w:rtl/>
        </w:rPr>
        <w:t>–</w:t>
      </w:r>
      <w:r>
        <w:rPr>
          <w:rFonts w:cs="David" w:hint="cs"/>
          <w:sz w:val="24"/>
          <w:szCs w:val="24"/>
          <w:rtl/>
        </w:rPr>
        <w:t xml:space="preserve"> הרי שסוגיה זו הוכרעה בעבר על ידי בית משפט נכבד זה בבג"ץ חושיה, שם נקבע, באופן המפורש ביותר, כי לא ניתן לעשות שימוש בכלים מנהליים העוקפים את הוראות </w:t>
      </w:r>
      <w:r w:rsidR="001E1844">
        <w:rPr>
          <w:rFonts w:cs="David" w:hint="cs"/>
          <w:sz w:val="24"/>
          <w:szCs w:val="24"/>
          <w:rtl/>
        </w:rPr>
        <w:t>"</w:t>
      </w:r>
      <w:r w:rsidRPr="001E1844">
        <w:rPr>
          <w:rFonts w:cs="David" w:hint="cs"/>
          <w:b/>
          <w:bCs/>
          <w:sz w:val="24"/>
          <w:szCs w:val="24"/>
          <w:rtl/>
        </w:rPr>
        <w:t>צו שימוש מפריע</w:t>
      </w:r>
      <w:r w:rsidR="001E1844">
        <w:rPr>
          <w:rFonts w:cs="David" w:hint="cs"/>
          <w:sz w:val="24"/>
          <w:szCs w:val="24"/>
          <w:rtl/>
        </w:rPr>
        <w:t>"</w:t>
      </w:r>
      <w:r>
        <w:rPr>
          <w:rFonts w:cs="David" w:hint="cs"/>
          <w:sz w:val="24"/>
          <w:szCs w:val="24"/>
          <w:rtl/>
        </w:rPr>
        <w:t>. ובלשונו של בית המשפט:</w:t>
      </w:r>
    </w:p>
    <w:p w:rsidR="00D1256B" w:rsidRPr="00D1256B" w:rsidRDefault="00D1256B" w:rsidP="00D1256B">
      <w:pPr>
        <w:pStyle w:val="a9"/>
        <w:bidi/>
        <w:spacing w:line="360" w:lineRule="auto"/>
        <w:ind w:left="1422" w:right="851"/>
        <w:jc w:val="both"/>
        <w:rPr>
          <w:rFonts w:cs="David"/>
          <w:b/>
          <w:bCs/>
          <w:sz w:val="24"/>
          <w:szCs w:val="24"/>
        </w:rPr>
      </w:pPr>
      <w:r w:rsidRPr="00D1256B">
        <w:rPr>
          <w:rFonts w:cs="David"/>
          <w:b/>
          <w:bCs/>
          <w:sz w:val="24"/>
          <w:szCs w:val="24"/>
          <w:rtl/>
        </w:rPr>
        <w:lastRenderedPageBreak/>
        <w:t xml:space="preserve">"כאמור לעיל, נקודת המוצא היא שהמפקד הצבאי מחויב מכוח תפקידו להגן על ביטחונם של התושבים המוגנים ולמנוע שימוש מפריע במקרקעין פרטיים. אולם, אין פירוש הדברים שעל המפקד הצבאי לנקוט בצעדים מנהליים לשם הוצאת החזקה מידי המחזיק כשאין המדובר בפלישה "טרייה" במובנה בצו שימוש מפריע. דבר זה יערער את האיזון עליו עמדתי לעיל בין מתן הגנה אפקטיבית לבעל החזקה כדין שנושל לבין אינטרס ההגנה על שלום הציבור והמשקל שיש </w:t>
      </w:r>
      <w:proofErr w:type="spellStart"/>
      <w:r w:rsidRPr="00D1256B">
        <w:rPr>
          <w:rFonts w:cs="David"/>
          <w:b/>
          <w:bCs/>
          <w:sz w:val="24"/>
          <w:szCs w:val="24"/>
          <w:rtl/>
        </w:rPr>
        <w:t>ליתן</w:t>
      </w:r>
      <w:proofErr w:type="spellEnd"/>
      <w:r w:rsidRPr="00D1256B">
        <w:rPr>
          <w:rFonts w:cs="David"/>
          <w:b/>
          <w:bCs/>
          <w:sz w:val="24"/>
          <w:szCs w:val="24"/>
          <w:rtl/>
        </w:rPr>
        <w:t xml:space="preserve"> לחזקה</w:t>
      </w:r>
      <w:r w:rsidRPr="00D1256B">
        <w:rPr>
          <w:rFonts w:cs="David" w:hint="cs"/>
          <w:b/>
          <w:bCs/>
          <w:sz w:val="24"/>
          <w:szCs w:val="24"/>
          <w:rtl/>
        </w:rPr>
        <w:t xml:space="preserve"> </w:t>
      </w:r>
      <w:r w:rsidRPr="00D1256B">
        <w:rPr>
          <w:rFonts w:cs="David"/>
          <w:b/>
          <w:bCs/>
          <w:sz w:val="24"/>
          <w:szCs w:val="24"/>
          <w:rtl/>
        </w:rPr>
        <w:t xml:space="preserve">ממושכת </w:t>
      </w:r>
      <w:r w:rsidRPr="00D1256B">
        <w:rPr>
          <w:rFonts w:cs="David" w:hint="cs"/>
          <w:b/>
          <w:bCs/>
          <w:sz w:val="24"/>
          <w:szCs w:val="24"/>
          <w:rtl/>
        </w:rPr>
        <w:t>בפועל</w:t>
      </w:r>
      <w:r w:rsidRPr="00D1256B">
        <w:rPr>
          <w:rFonts w:cs="David"/>
          <w:b/>
          <w:bCs/>
          <w:sz w:val="24"/>
          <w:szCs w:val="24"/>
          <w:rtl/>
        </w:rPr>
        <w:t>"</w:t>
      </w:r>
      <w:r w:rsidRPr="00D1256B">
        <w:rPr>
          <w:rFonts w:cs="David"/>
          <w:b/>
          <w:bCs/>
          <w:sz w:val="24"/>
          <w:szCs w:val="24"/>
          <w:vertAlign w:val="superscript"/>
          <w:rtl/>
        </w:rPr>
        <w:footnoteReference w:id="8"/>
      </w:r>
      <w:r w:rsidRPr="00D1256B">
        <w:rPr>
          <w:rFonts w:cs="David" w:hint="cs"/>
          <w:b/>
          <w:bCs/>
          <w:sz w:val="24"/>
          <w:szCs w:val="24"/>
          <w:rtl/>
        </w:rPr>
        <w:t>.</w:t>
      </w:r>
      <w:r w:rsidRPr="00D1256B">
        <w:rPr>
          <w:rFonts w:cs="David"/>
          <w:b/>
          <w:bCs/>
          <w:sz w:val="24"/>
          <w:szCs w:val="24"/>
          <w:rtl/>
        </w:rPr>
        <w:t xml:space="preserve"> </w:t>
      </w:r>
    </w:p>
    <w:p w:rsidR="00D1256B" w:rsidRPr="00D1256B" w:rsidRDefault="00D1256B" w:rsidP="00D1256B">
      <w:pPr>
        <w:pStyle w:val="a9"/>
        <w:bidi/>
        <w:spacing w:line="360" w:lineRule="auto"/>
        <w:ind w:left="1422" w:right="851"/>
        <w:jc w:val="both"/>
        <w:rPr>
          <w:rFonts w:cs="David"/>
          <w:sz w:val="24"/>
          <w:szCs w:val="24"/>
          <w:rtl/>
        </w:rPr>
      </w:pPr>
      <w:r w:rsidRPr="00D1256B">
        <w:rPr>
          <w:rFonts w:cs="David"/>
          <w:sz w:val="24"/>
          <w:szCs w:val="24"/>
          <w:rtl/>
        </w:rPr>
        <w:t>וכן:</w:t>
      </w:r>
    </w:p>
    <w:p w:rsidR="00D1256B" w:rsidRDefault="00D1256B" w:rsidP="00D1256B">
      <w:pPr>
        <w:pStyle w:val="a9"/>
        <w:bidi/>
        <w:spacing w:line="360" w:lineRule="auto"/>
        <w:ind w:left="1422" w:right="851"/>
        <w:jc w:val="both"/>
        <w:rPr>
          <w:rFonts w:cs="David"/>
          <w:b/>
          <w:bCs/>
          <w:sz w:val="24"/>
          <w:szCs w:val="24"/>
          <w:rtl/>
        </w:rPr>
      </w:pPr>
      <w:r w:rsidRPr="00D1256B">
        <w:rPr>
          <w:rFonts w:cs="David"/>
          <w:b/>
          <w:bCs/>
          <w:sz w:val="24"/>
          <w:szCs w:val="24"/>
          <w:rtl/>
        </w:rPr>
        <w:t>" ואולם, לעת הזו, אחרי תקופה כה ארוכה בה אין לעותרים חזקה בשטח שבמחלוקת, אין מקום לכפות על המשיב לפעול מכוח צו שימוש מפריע. בסופו של דבר, שמירת המצב הקיים בשטח היא חלק מחובתו של המפקד הצבאי לשמור על הסדר הציבורי"</w:t>
      </w:r>
      <w:r w:rsidRPr="00D1256B">
        <w:rPr>
          <w:rFonts w:cs="David"/>
          <w:b/>
          <w:bCs/>
          <w:sz w:val="24"/>
          <w:szCs w:val="24"/>
          <w:vertAlign w:val="superscript"/>
          <w:rtl/>
        </w:rPr>
        <w:footnoteReference w:id="9"/>
      </w:r>
      <w:r w:rsidRPr="00D1256B">
        <w:rPr>
          <w:rFonts w:cs="David"/>
          <w:b/>
          <w:bCs/>
          <w:sz w:val="24"/>
          <w:szCs w:val="24"/>
          <w:vertAlign w:val="superscript"/>
          <w:rtl/>
        </w:rPr>
        <w:t xml:space="preserve"> </w:t>
      </w:r>
      <w:r w:rsidRPr="00D1256B">
        <w:rPr>
          <w:rFonts w:cs="David"/>
          <w:b/>
          <w:bCs/>
          <w:sz w:val="24"/>
          <w:szCs w:val="24"/>
          <w:rtl/>
        </w:rPr>
        <w:t>(ההדגשה איננה במקור, ב.א.).</w:t>
      </w:r>
    </w:p>
    <w:p w:rsidR="005177B8" w:rsidRPr="005177B8" w:rsidRDefault="005177B8" w:rsidP="005177B8">
      <w:pPr>
        <w:pStyle w:val="a9"/>
        <w:bidi/>
        <w:spacing w:line="360" w:lineRule="auto"/>
        <w:ind w:left="1422" w:right="851"/>
        <w:jc w:val="both"/>
        <w:rPr>
          <w:rFonts w:cs="David"/>
          <w:sz w:val="24"/>
          <w:szCs w:val="24"/>
          <w:rtl/>
        </w:rPr>
      </w:pPr>
      <w:r w:rsidRPr="005177B8">
        <w:rPr>
          <w:rFonts w:cs="David" w:hint="cs"/>
          <w:sz w:val="24"/>
          <w:szCs w:val="24"/>
          <w:rtl/>
        </w:rPr>
        <w:t>ובנוסף:</w:t>
      </w:r>
    </w:p>
    <w:p w:rsidR="005177B8" w:rsidRPr="00D1256B" w:rsidRDefault="005177B8" w:rsidP="005177B8">
      <w:pPr>
        <w:pStyle w:val="a9"/>
        <w:bidi/>
        <w:spacing w:line="360" w:lineRule="auto"/>
        <w:ind w:left="1422" w:right="851"/>
        <w:jc w:val="both"/>
        <w:rPr>
          <w:rFonts w:cs="David"/>
          <w:b/>
          <w:bCs/>
          <w:sz w:val="24"/>
          <w:szCs w:val="24"/>
          <w:rtl/>
        </w:rPr>
      </w:pPr>
      <w:r>
        <w:rPr>
          <w:rFonts w:cs="David" w:hint="cs"/>
          <w:b/>
          <w:bCs/>
          <w:sz w:val="24"/>
          <w:szCs w:val="24"/>
          <w:rtl/>
        </w:rPr>
        <w:t>"</w:t>
      </w:r>
      <w:r w:rsidRPr="005177B8">
        <w:rPr>
          <w:rFonts w:cs="David"/>
          <w:b/>
          <w:bCs/>
          <w:sz w:val="24"/>
          <w:szCs w:val="24"/>
          <w:rtl/>
        </w:rPr>
        <w:t>העותרים טענו בפנינו כי גם אם לא ניתן לעשות שימוש בצו שימוש מפריע, המוגבל כאמור בזמן, ניתן לעשות לדבריהם שימוש בצו סגירת שטחים. יש לדבריהם לסגור את השטח שבמחלוקת בפני התושבים הישראלים ולאפשר את כניסתם שלהם אליו. ככלל, לדעתי אין מקום לעקוף את גבולות הזמן הקבועים בצו שימוש מפריע על ידי שימוש בצו לסגירת שטחים, כדי להשיג תוצאה זהה של סילוק מחזיקים בפועל. כאמור לעיל, בעוד שתכליתו של צו סגירת שטחים היא תכלית כללית של שמירה על הסדר הציבורי ועל ביטחונם של תושבי האזור, תכליתו של צו שימוש מפריע היא תכלית ספציפית של הגנה על מקרקעין מפני פלישה. החלתו של צו סגירת שטחים לאחר שחלפו חמש השנים מתחילת הפלישה</w:t>
      </w:r>
      <w:r w:rsidR="003F6FF5">
        <w:rPr>
          <w:rFonts w:cs="David" w:hint="cs"/>
          <w:b/>
          <w:bCs/>
          <w:sz w:val="24"/>
          <w:szCs w:val="24"/>
          <w:rtl/>
        </w:rPr>
        <w:t xml:space="preserve">, </w:t>
      </w:r>
      <w:r w:rsidRPr="005177B8">
        <w:rPr>
          <w:rFonts w:cs="David"/>
          <w:b/>
          <w:bCs/>
          <w:sz w:val="24"/>
          <w:szCs w:val="24"/>
          <w:rtl/>
        </w:rPr>
        <w:t>לשם סילוק הפלישה</w:t>
      </w:r>
      <w:r w:rsidR="003F6FF5">
        <w:rPr>
          <w:rFonts w:cs="David" w:hint="cs"/>
          <w:b/>
          <w:bCs/>
          <w:sz w:val="24"/>
          <w:szCs w:val="24"/>
          <w:rtl/>
        </w:rPr>
        <w:t xml:space="preserve">, </w:t>
      </w:r>
      <w:r w:rsidRPr="005177B8">
        <w:rPr>
          <w:rFonts w:cs="David"/>
          <w:b/>
          <w:bCs/>
          <w:sz w:val="24"/>
          <w:szCs w:val="24"/>
          <w:rtl/>
        </w:rPr>
        <w:t>תביא לערעור האיזון שנקבע בצו שימוש מפריע בין שמירה על מקרקעין מפני פלישה לבין הצורך להתחשב בחזקה ממושכת בפועל</w:t>
      </w:r>
      <w:r>
        <w:rPr>
          <w:rFonts w:cs="David" w:hint="cs"/>
          <w:b/>
          <w:bCs/>
          <w:sz w:val="24"/>
          <w:szCs w:val="24"/>
          <w:rtl/>
        </w:rPr>
        <w:t>".</w:t>
      </w:r>
    </w:p>
    <w:p w:rsidR="006D3837" w:rsidRDefault="005177B8" w:rsidP="002C1574">
      <w:pPr>
        <w:pStyle w:val="a9"/>
        <w:numPr>
          <w:ilvl w:val="0"/>
          <w:numId w:val="1"/>
        </w:numPr>
        <w:bidi/>
        <w:spacing w:line="360" w:lineRule="auto"/>
        <w:ind w:hanging="720"/>
        <w:jc w:val="both"/>
        <w:rPr>
          <w:rFonts w:cs="David"/>
          <w:sz w:val="24"/>
          <w:szCs w:val="24"/>
        </w:rPr>
      </w:pPr>
      <w:r>
        <w:rPr>
          <w:rFonts w:cs="David" w:hint="cs"/>
          <w:sz w:val="24"/>
          <w:szCs w:val="24"/>
          <w:rtl/>
        </w:rPr>
        <w:t>לאור האמור לעיל, ברור הוא שהחלטת המשיבים</w:t>
      </w:r>
      <w:r w:rsidR="003F6FF5">
        <w:rPr>
          <w:rFonts w:cs="David" w:hint="cs"/>
          <w:sz w:val="24"/>
          <w:szCs w:val="24"/>
          <w:rtl/>
        </w:rPr>
        <w:t xml:space="preserve"> לאפשר ל</w:t>
      </w:r>
      <w:r w:rsidR="005A2B49">
        <w:rPr>
          <w:rFonts w:cs="David" w:hint="cs"/>
          <w:sz w:val="24"/>
          <w:szCs w:val="24"/>
          <w:rtl/>
        </w:rPr>
        <w:t xml:space="preserve">פולשים </w:t>
      </w:r>
      <w:r w:rsidR="003F6FF5">
        <w:rPr>
          <w:rFonts w:cs="David" w:hint="cs"/>
          <w:sz w:val="24"/>
          <w:szCs w:val="24"/>
          <w:rtl/>
        </w:rPr>
        <w:t xml:space="preserve">להיכנס למקרקעין נשוא העתירה </w:t>
      </w:r>
      <w:r w:rsidR="003F6FF5" w:rsidRPr="005A2B49">
        <w:rPr>
          <w:rFonts w:cs="David" w:hint="cs"/>
          <w:b/>
          <w:bCs/>
          <w:sz w:val="24"/>
          <w:szCs w:val="24"/>
          <w:rtl/>
        </w:rPr>
        <w:t>נעשית ללא שקיימת סמכות מנהלית בדין</w:t>
      </w:r>
      <w:r w:rsidR="003F6FF5">
        <w:rPr>
          <w:rFonts w:cs="David" w:hint="cs"/>
          <w:sz w:val="24"/>
          <w:szCs w:val="24"/>
          <w:rtl/>
        </w:rPr>
        <w:t xml:space="preserve"> וזאת לאור חלוף </w:t>
      </w:r>
      <w:r w:rsidR="006D3837">
        <w:rPr>
          <w:rFonts w:cs="David" w:hint="cs"/>
          <w:sz w:val="24"/>
          <w:szCs w:val="24"/>
          <w:rtl/>
        </w:rPr>
        <w:t>למעלה מחמ</w:t>
      </w:r>
      <w:r w:rsidR="003F6FF5">
        <w:rPr>
          <w:rFonts w:cs="David" w:hint="cs"/>
          <w:sz w:val="24"/>
          <w:szCs w:val="24"/>
          <w:rtl/>
        </w:rPr>
        <w:t>ש השנים מיום תחילת החזקה במקרקעין על ידי העותר</w:t>
      </w:r>
      <w:r w:rsidR="006D3837">
        <w:rPr>
          <w:rFonts w:cs="David" w:hint="cs"/>
          <w:sz w:val="24"/>
          <w:szCs w:val="24"/>
          <w:rtl/>
        </w:rPr>
        <w:t xml:space="preserve"> ולאור חלוף הזמן הקבוע בצו שימוש מפריע.</w:t>
      </w:r>
    </w:p>
    <w:p w:rsidR="005A2B49" w:rsidRDefault="002C1574" w:rsidP="005A2B49">
      <w:pPr>
        <w:pStyle w:val="a9"/>
        <w:numPr>
          <w:ilvl w:val="0"/>
          <w:numId w:val="1"/>
        </w:numPr>
        <w:bidi/>
        <w:spacing w:line="360" w:lineRule="auto"/>
        <w:ind w:hanging="720"/>
        <w:jc w:val="both"/>
        <w:rPr>
          <w:rFonts w:cs="David"/>
          <w:sz w:val="24"/>
          <w:szCs w:val="24"/>
        </w:rPr>
      </w:pPr>
      <w:r>
        <w:rPr>
          <w:rFonts w:cs="David" w:hint="cs"/>
          <w:sz w:val="24"/>
          <w:szCs w:val="24"/>
          <w:rtl/>
        </w:rPr>
        <w:lastRenderedPageBreak/>
        <w:t xml:space="preserve">ראוי לציין כי, מבחינת הפולשים, </w:t>
      </w:r>
      <w:r w:rsidR="006D3837">
        <w:rPr>
          <w:rFonts w:cs="David" w:hint="cs"/>
          <w:sz w:val="24"/>
          <w:szCs w:val="24"/>
          <w:rtl/>
        </w:rPr>
        <w:t xml:space="preserve">אין מדובר בסוף פסוק, שכן למרות שהדרך </w:t>
      </w:r>
      <w:proofErr w:type="spellStart"/>
      <w:r w:rsidR="006D3837">
        <w:rPr>
          <w:rFonts w:cs="David" w:hint="cs"/>
          <w:sz w:val="24"/>
          <w:szCs w:val="24"/>
          <w:rtl/>
        </w:rPr>
        <w:t>המינהלית</w:t>
      </w:r>
      <w:proofErr w:type="spellEnd"/>
      <w:r w:rsidR="006D3837">
        <w:rPr>
          <w:rFonts w:cs="David" w:hint="cs"/>
          <w:sz w:val="24"/>
          <w:szCs w:val="24"/>
          <w:rtl/>
        </w:rPr>
        <w:t xml:space="preserve"> סגורה בפניהם, ה</w:t>
      </w:r>
      <w:r w:rsidR="005A2B49">
        <w:rPr>
          <w:rFonts w:cs="David" w:hint="cs"/>
          <w:sz w:val="24"/>
          <w:szCs w:val="24"/>
          <w:rtl/>
        </w:rPr>
        <w:t>פולשים</w:t>
      </w:r>
      <w:r w:rsidR="006D3837">
        <w:rPr>
          <w:rFonts w:cs="David" w:hint="cs"/>
          <w:sz w:val="24"/>
          <w:szCs w:val="24"/>
          <w:rtl/>
        </w:rPr>
        <w:t xml:space="preserve"> יוכלו, באם יחפצו בכך, לפנות לבית המשפט המוסמך לשם רישום המקרקעין על שמם ובכך לפעול בדרך שיפוטית. אולם ככל הנראה, אין בידי ה</w:t>
      </w:r>
      <w:r w:rsidR="005A2B49">
        <w:rPr>
          <w:rFonts w:cs="David" w:hint="cs"/>
          <w:sz w:val="24"/>
          <w:szCs w:val="24"/>
          <w:rtl/>
        </w:rPr>
        <w:t xml:space="preserve">פולשים </w:t>
      </w:r>
      <w:r w:rsidR="006D3837">
        <w:rPr>
          <w:rFonts w:cs="David" w:hint="cs"/>
          <w:sz w:val="24"/>
          <w:szCs w:val="24"/>
          <w:rtl/>
        </w:rPr>
        <w:t xml:space="preserve">להוכיח את זכויותיהם במקרקעין ועל כן פנו </w:t>
      </w:r>
      <w:r w:rsidR="005A2B49">
        <w:rPr>
          <w:rFonts w:cs="David" w:hint="cs"/>
          <w:sz w:val="24"/>
          <w:szCs w:val="24"/>
          <w:rtl/>
        </w:rPr>
        <w:t>ישירות למשיבים תוך קביעת עובדות בשטח.</w:t>
      </w:r>
    </w:p>
    <w:p w:rsidR="005A2B49" w:rsidRDefault="005A2B49" w:rsidP="005A2B49">
      <w:pPr>
        <w:pStyle w:val="a9"/>
        <w:numPr>
          <w:ilvl w:val="0"/>
          <w:numId w:val="1"/>
        </w:numPr>
        <w:bidi/>
        <w:spacing w:line="360" w:lineRule="auto"/>
        <w:ind w:hanging="720"/>
        <w:jc w:val="both"/>
        <w:rPr>
          <w:rFonts w:cs="David"/>
          <w:sz w:val="24"/>
          <w:szCs w:val="24"/>
        </w:rPr>
      </w:pPr>
      <w:r>
        <w:rPr>
          <w:rFonts w:cs="David" w:hint="cs"/>
          <w:sz w:val="24"/>
          <w:szCs w:val="24"/>
          <w:rtl/>
        </w:rPr>
        <w:t xml:space="preserve">יצויין כי גריעת המקרקעין נשוא העתירה מאדמות המדינה המוכרזות המוקצות לחוות טליה </w:t>
      </w:r>
      <w:r>
        <w:rPr>
          <w:rFonts w:cs="David"/>
          <w:sz w:val="24"/>
          <w:szCs w:val="24"/>
          <w:rtl/>
        </w:rPr>
        <w:t>–</w:t>
      </w:r>
      <w:r>
        <w:rPr>
          <w:rFonts w:cs="David" w:hint="cs"/>
          <w:sz w:val="24"/>
          <w:szCs w:val="24"/>
          <w:rtl/>
        </w:rPr>
        <w:t xml:space="preserve"> אינה מעלה ואינה מורידה מטענות העותרים לזכויות במקרקעין. </w:t>
      </w:r>
      <w:r w:rsidRPr="002C1574">
        <w:rPr>
          <w:rFonts w:cs="David" w:hint="cs"/>
          <w:b/>
          <w:bCs/>
          <w:sz w:val="24"/>
          <w:szCs w:val="24"/>
          <w:rtl/>
        </w:rPr>
        <w:t>עצם ההחזקה במקרקעין</w:t>
      </w:r>
      <w:r>
        <w:rPr>
          <w:rFonts w:cs="David" w:hint="cs"/>
          <w:sz w:val="24"/>
          <w:szCs w:val="24"/>
          <w:rtl/>
        </w:rPr>
        <w:t xml:space="preserve"> מהווה זכות להגנה ואסור למשיבים לפגוע בזכות זו ללא הצדקה שבדין.</w:t>
      </w:r>
    </w:p>
    <w:p w:rsidR="00214308" w:rsidRDefault="00214308" w:rsidP="005872FA">
      <w:pPr>
        <w:pStyle w:val="a9"/>
        <w:numPr>
          <w:ilvl w:val="0"/>
          <w:numId w:val="1"/>
        </w:numPr>
        <w:bidi/>
        <w:spacing w:line="360" w:lineRule="auto"/>
        <w:ind w:hanging="720"/>
        <w:jc w:val="both"/>
        <w:rPr>
          <w:rFonts w:cs="David"/>
          <w:sz w:val="24"/>
          <w:szCs w:val="24"/>
        </w:rPr>
      </w:pPr>
      <w:r>
        <w:rPr>
          <w:rFonts w:cs="David" w:hint="cs"/>
          <w:sz w:val="24"/>
          <w:szCs w:val="24"/>
          <w:rtl/>
        </w:rPr>
        <w:t>ואם לא די ב</w:t>
      </w:r>
      <w:r w:rsidR="005872FA">
        <w:rPr>
          <w:rFonts w:cs="David" w:hint="cs"/>
          <w:sz w:val="24"/>
          <w:szCs w:val="24"/>
          <w:rtl/>
        </w:rPr>
        <w:t>אמור לעיל</w:t>
      </w:r>
      <w:r>
        <w:rPr>
          <w:rFonts w:cs="David" w:hint="cs"/>
          <w:sz w:val="24"/>
          <w:szCs w:val="24"/>
          <w:rtl/>
        </w:rPr>
        <w:t xml:space="preserve"> </w:t>
      </w:r>
      <w:r>
        <w:rPr>
          <w:rFonts w:cs="David"/>
          <w:sz w:val="24"/>
          <w:szCs w:val="24"/>
          <w:rtl/>
        </w:rPr>
        <w:t>–</w:t>
      </w:r>
      <w:r>
        <w:rPr>
          <w:rFonts w:cs="David" w:hint="cs"/>
          <w:sz w:val="24"/>
          <w:szCs w:val="24"/>
          <w:rtl/>
        </w:rPr>
        <w:t xml:space="preserve"> </w:t>
      </w:r>
      <w:r w:rsidR="005A2B49">
        <w:rPr>
          <w:rFonts w:cs="David" w:hint="cs"/>
          <w:sz w:val="24"/>
          <w:szCs w:val="24"/>
          <w:rtl/>
        </w:rPr>
        <w:t xml:space="preserve">אפילו </w:t>
      </w:r>
      <w:r>
        <w:rPr>
          <w:rFonts w:cs="David" w:hint="cs"/>
          <w:sz w:val="24"/>
          <w:szCs w:val="24"/>
          <w:rtl/>
        </w:rPr>
        <w:t>"צו שימוש מפריע" זכה כבר לכינוי "צו דרקוני" במסקנות דו"ח לוי אשר נכתבו על ידי כבוד השופט (</w:t>
      </w:r>
      <w:proofErr w:type="spellStart"/>
      <w:r>
        <w:rPr>
          <w:rFonts w:cs="David" w:hint="cs"/>
          <w:sz w:val="24"/>
          <w:szCs w:val="24"/>
          <w:rtl/>
        </w:rPr>
        <w:t>בדימ</w:t>
      </w:r>
      <w:proofErr w:type="spellEnd"/>
      <w:r>
        <w:rPr>
          <w:rFonts w:cs="David" w:hint="cs"/>
          <w:sz w:val="24"/>
          <w:szCs w:val="24"/>
          <w:rtl/>
        </w:rPr>
        <w:t xml:space="preserve">') אדמונד לוי ז"ל. כינוי זה הוצמד לו לאור העובדה כי צו שימוש מפריע הוא הרחבה קיצונית של תקופת הטיפול </w:t>
      </w:r>
      <w:proofErr w:type="spellStart"/>
      <w:r>
        <w:rPr>
          <w:rFonts w:cs="David" w:hint="cs"/>
          <w:sz w:val="24"/>
          <w:szCs w:val="24"/>
          <w:rtl/>
        </w:rPr>
        <w:t>המינהלי</w:t>
      </w:r>
      <w:proofErr w:type="spellEnd"/>
      <w:r>
        <w:rPr>
          <w:rFonts w:cs="David" w:hint="cs"/>
          <w:sz w:val="24"/>
          <w:szCs w:val="24"/>
          <w:rtl/>
        </w:rPr>
        <w:t xml:space="preserve"> בסכסוכי מקרקעין ובאופן הפוגע קשות בזכות החזקה של המחזיק במקרקעין. והנה באים המשיבים</w:t>
      </w:r>
      <w:r w:rsidR="003F6FF5">
        <w:rPr>
          <w:rFonts w:cs="David" w:hint="cs"/>
          <w:sz w:val="24"/>
          <w:szCs w:val="24"/>
          <w:rtl/>
        </w:rPr>
        <w:t xml:space="preserve"> 1-3</w:t>
      </w:r>
      <w:r>
        <w:rPr>
          <w:rFonts w:cs="David" w:hint="cs"/>
          <w:sz w:val="24"/>
          <w:szCs w:val="24"/>
          <w:rtl/>
        </w:rPr>
        <w:t xml:space="preserve"> ונוטלים מהעותר אפילו את הזכויות המצומצמות שנותרו ביד</w:t>
      </w:r>
      <w:r w:rsidR="003F6FF5">
        <w:rPr>
          <w:rFonts w:cs="David" w:hint="cs"/>
          <w:sz w:val="24"/>
          <w:szCs w:val="24"/>
          <w:rtl/>
        </w:rPr>
        <w:t>ו</w:t>
      </w:r>
      <w:r>
        <w:rPr>
          <w:rFonts w:cs="David" w:hint="cs"/>
          <w:sz w:val="24"/>
          <w:szCs w:val="24"/>
          <w:rtl/>
        </w:rPr>
        <w:t xml:space="preserve"> </w:t>
      </w:r>
      <w:r>
        <w:rPr>
          <w:rFonts w:cs="David"/>
          <w:sz w:val="24"/>
          <w:szCs w:val="24"/>
          <w:rtl/>
        </w:rPr>
        <w:t>–</w:t>
      </w:r>
      <w:r>
        <w:rPr>
          <w:rFonts w:cs="David" w:hint="cs"/>
          <w:sz w:val="24"/>
          <w:szCs w:val="24"/>
          <w:rtl/>
        </w:rPr>
        <w:t xml:space="preserve"> תוך פגיעה בלתי הפיכה בקניינ</w:t>
      </w:r>
      <w:r w:rsidR="005872FA">
        <w:rPr>
          <w:rFonts w:cs="David" w:hint="cs"/>
          <w:sz w:val="24"/>
          <w:szCs w:val="24"/>
          <w:rtl/>
        </w:rPr>
        <w:t>ו</w:t>
      </w:r>
      <w:r>
        <w:rPr>
          <w:rFonts w:cs="David" w:hint="cs"/>
          <w:sz w:val="24"/>
          <w:szCs w:val="24"/>
          <w:rtl/>
        </w:rPr>
        <w:t xml:space="preserve"> ובזכות החזקה המוקנית ל</w:t>
      </w:r>
      <w:r w:rsidR="005872FA">
        <w:rPr>
          <w:rFonts w:cs="David" w:hint="cs"/>
          <w:sz w:val="24"/>
          <w:szCs w:val="24"/>
          <w:rtl/>
        </w:rPr>
        <w:t>ו</w:t>
      </w:r>
      <w:r>
        <w:rPr>
          <w:rFonts w:cs="David" w:hint="cs"/>
          <w:sz w:val="24"/>
          <w:szCs w:val="24"/>
          <w:rtl/>
        </w:rPr>
        <w:t>.</w:t>
      </w:r>
    </w:p>
    <w:p w:rsidR="000B359B" w:rsidRPr="005A2B49" w:rsidRDefault="005A2B49" w:rsidP="005A2B49">
      <w:pPr>
        <w:pStyle w:val="a9"/>
        <w:numPr>
          <w:ilvl w:val="0"/>
          <w:numId w:val="1"/>
        </w:numPr>
        <w:bidi/>
        <w:spacing w:line="360" w:lineRule="auto"/>
        <w:ind w:hanging="720"/>
        <w:jc w:val="both"/>
        <w:rPr>
          <w:rFonts w:cs="David"/>
          <w:sz w:val="24"/>
          <w:szCs w:val="24"/>
        </w:rPr>
      </w:pPr>
      <w:r>
        <w:rPr>
          <w:rFonts w:cs="David" w:hint="cs"/>
          <w:sz w:val="24"/>
          <w:szCs w:val="24"/>
          <w:rtl/>
        </w:rPr>
        <w:t xml:space="preserve">ויודגש </w:t>
      </w:r>
      <w:r>
        <w:rPr>
          <w:rFonts w:cs="David"/>
          <w:sz w:val="24"/>
          <w:szCs w:val="24"/>
          <w:rtl/>
        </w:rPr>
        <w:t>–</w:t>
      </w:r>
      <w:r>
        <w:rPr>
          <w:rFonts w:cs="David" w:hint="cs"/>
          <w:sz w:val="24"/>
          <w:szCs w:val="24"/>
          <w:rtl/>
        </w:rPr>
        <w:t xml:space="preserve"> העותרים מעולם לא קיבלו </w:t>
      </w:r>
      <w:r w:rsidR="000B359B">
        <w:rPr>
          <w:rFonts w:cs="David" w:hint="cs"/>
          <w:sz w:val="24"/>
          <w:szCs w:val="24"/>
          <w:rtl/>
        </w:rPr>
        <w:t>כל מסמך רשמי או צו רשמי, לא על פי צו שימוש מפריע ולא על פי כל צו אחר. העותר</w:t>
      </w:r>
      <w:r>
        <w:rPr>
          <w:rFonts w:cs="David" w:hint="cs"/>
          <w:sz w:val="24"/>
          <w:szCs w:val="24"/>
          <w:rtl/>
        </w:rPr>
        <w:t>ים</w:t>
      </w:r>
      <w:r w:rsidR="000B359B">
        <w:rPr>
          <w:rFonts w:cs="David" w:hint="cs"/>
          <w:sz w:val="24"/>
          <w:szCs w:val="24"/>
          <w:rtl/>
        </w:rPr>
        <w:t xml:space="preserve"> אינ</w:t>
      </w:r>
      <w:r>
        <w:rPr>
          <w:rFonts w:cs="David" w:hint="cs"/>
          <w:sz w:val="24"/>
          <w:szCs w:val="24"/>
          <w:rtl/>
        </w:rPr>
        <w:t xml:space="preserve">ם </w:t>
      </w:r>
      <w:r w:rsidR="000B359B">
        <w:rPr>
          <w:rFonts w:cs="David" w:hint="cs"/>
          <w:sz w:val="24"/>
          <w:szCs w:val="24"/>
          <w:rtl/>
        </w:rPr>
        <w:t>יודע</w:t>
      </w:r>
      <w:r>
        <w:rPr>
          <w:rFonts w:cs="David" w:hint="cs"/>
          <w:sz w:val="24"/>
          <w:szCs w:val="24"/>
          <w:rtl/>
        </w:rPr>
        <w:t>ים בוודאות</w:t>
      </w:r>
      <w:r w:rsidR="000B359B">
        <w:rPr>
          <w:rFonts w:cs="David" w:hint="cs"/>
          <w:sz w:val="24"/>
          <w:szCs w:val="24"/>
          <w:rtl/>
        </w:rPr>
        <w:t xml:space="preserve"> מיה</w:t>
      </w:r>
      <w:r>
        <w:rPr>
          <w:rFonts w:cs="David" w:hint="cs"/>
          <w:sz w:val="24"/>
          <w:szCs w:val="24"/>
          <w:rtl/>
        </w:rPr>
        <w:t>ם</w:t>
      </w:r>
      <w:r w:rsidR="000B359B">
        <w:rPr>
          <w:rFonts w:cs="David" w:hint="cs"/>
          <w:sz w:val="24"/>
          <w:szCs w:val="24"/>
          <w:rtl/>
        </w:rPr>
        <w:t xml:space="preserve"> </w:t>
      </w:r>
      <w:r>
        <w:rPr>
          <w:rFonts w:cs="David" w:hint="cs"/>
          <w:sz w:val="24"/>
          <w:szCs w:val="24"/>
          <w:rtl/>
        </w:rPr>
        <w:t>הפולשים ועל סמך מה נקבע על ידי המשיבים כי הם זכאים להיכנס למקרקעין.</w:t>
      </w:r>
      <w:r w:rsidR="000B359B" w:rsidRPr="005A2B49">
        <w:rPr>
          <w:rFonts w:cs="David" w:hint="cs"/>
          <w:sz w:val="24"/>
          <w:szCs w:val="24"/>
          <w:rtl/>
        </w:rPr>
        <w:t xml:space="preserve"> </w:t>
      </w:r>
      <w:r>
        <w:rPr>
          <w:rFonts w:cs="David" w:hint="cs"/>
          <w:sz w:val="24"/>
          <w:szCs w:val="24"/>
          <w:rtl/>
        </w:rPr>
        <w:t xml:space="preserve">לא למותר לציין </w:t>
      </w:r>
      <w:r w:rsidR="000B359B" w:rsidRPr="005A2B49">
        <w:rPr>
          <w:rFonts w:cs="David" w:hint="cs"/>
          <w:sz w:val="24"/>
          <w:szCs w:val="24"/>
          <w:rtl/>
        </w:rPr>
        <w:t xml:space="preserve">כי במקרים דומים נעשה על ידי המשיבים שימוש בצו סגירת שטחים </w:t>
      </w:r>
      <w:r w:rsidR="000B359B" w:rsidRPr="005A2B49">
        <w:rPr>
          <w:rFonts w:cs="David"/>
          <w:sz w:val="24"/>
          <w:szCs w:val="24"/>
          <w:rtl/>
        </w:rPr>
        <w:t>–</w:t>
      </w:r>
      <w:r w:rsidR="000B359B" w:rsidRPr="005A2B49">
        <w:rPr>
          <w:rFonts w:cs="David" w:hint="cs"/>
          <w:sz w:val="24"/>
          <w:szCs w:val="24"/>
          <w:rtl/>
        </w:rPr>
        <w:t xml:space="preserve"> אולם במקרה דנן, אפילו צו כזה לא הוצא ולא הוצג לעותר</w:t>
      </w:r>
      <w:r>
        <w:rPr>
          <w:rFonts w:cs="David" w:hint="cs"/>
          <w:sz w:val="24"/>
          <w:szCs w:val="24"/>
          <w:rtl/>
        </w:rPr>
        <w:t>ים</w:t>
      </w:r>
      <w:r w:rsidR="000B359B" w:rsidRPr="005A2B49">
        <w:rPr>
          <w:rFonts w:cs="David" w:hint="cs"/>
          <w:sz w:val="24"/>
          <w:szCs w:val="24"/>
          <w:rtl/>
        </w:rPr>
        <w:t>.</w:t>
      </w:r>
    </w:p>
    <w:p w:rsidR="000B359B" w:rsidRDefault="000B359B" w:rsidP="005A2B49">
      <w:pPr>
        <w:pStyle w:val="a9"/>
        <w:numPr>
          <w:ilvl w:val="0"/>
          <w:numId w:val="1"/>
        </w:numPr>
        <w:bidi/>
        <w:spacing w:line="360" w:lineRule="auto"/>
        <w:ind w:hanging="720"/>
        <w:jc w:val="both"/>
        <w:rPr>
          <w:rFonts w:cs="David"/>
          <w:sz w:val="24"/>
          <w:szCs w:val="24"/>
        </w:rPr>
      </w:pPr>
      <w:r>
        <w:rPr>
          <w:rFonts w:cs="David" w:hint="cs"/>
          <w:sz w:val="24"/>
          <w:szCs w:val="24"/>
          <w:rtl/>
        </w:rPr>
        <w:t xml:space="preserve">לאור האמור, ובאין סמכות מנהלית להתערבות בסכסוך המקרקעין </w:t>
      </w:r>
      <w:r w:rsidR="00D770D0">
        <w:rPr>
          <w:rFonts w:cs="David" w:hint="cs"/>
          <w:sz w:val="24"/>
          <w:szCs w:val="24"/>
          <w:rtl/>
        </w:rPr>
        <w:t xml:space="preserve">הפרטי </w:t>
      </w:r>
      <w:r>
        <w:rPr>
          <w:rFonts w:cs="David" w:hint="cs"/>
          <w:sz w:val="24"/>
          <w:szCs w:val="24"/>
          <w:rtl/>
        </w:rPr>
        <w:t>שבין העותר לבין ה</w:t>
      </w:r>
      <w:r w:rsidR="005A2B49">
        <w:rPr>
          <w:rFonts w:cs="David" w:hint="cs"/>
          <w:sz w:val="24"/>
          <w:szCs w:val="24"/>
          <w:rtl/>
        </w:rPr>
        <w:t>פולשים</w:t>
      </w:r>
      <w:r>
        <w:rPr>
          <w:rFonts w:cs="David" w:hint="cs"/>
          <w:sz w:val="24"/>
          <w:szCs w:val="24"/>
          <w:rtl/>
        </w:rPr>
        <w:t xml:space="preserve"> </w:t>
      </w:r>
      <w:r>
        <w:rPr>
          <w:rFonts w:cs="David"/>
          <w:sz w:val="24"/>
          <w:szCs w:val="24"/>
          <w:rtl/>
        </w:rPr>
        <w:t>–</w:t>
      </w:r>
      <w:r>
        <w:rPr>
          <w:rFonts w:cs="David" w:hint="cs"/>
          <w:sz w:val="24"/>
          <w:szCs w:val="24"/>
          <w:rtl/>
        </w:rPr>
        <w:t xml:space="preserve"> שומה על בית המשפט לקבל את העתירה ולהוציא צו על תנאי כנגד המשיבים</w:t>
      </w:r>
      <w:r w:rsidR="005A2B49">
        <w:rPr>
          <w:rFonts w:cs="David" w:hint="cs"/>
          <w:sz w:val="24"/>
          <w:szCs w:val="24"/>
          <w:rtl/>
        </w:rPr>
        <w:t xml:space="preserve"> </w:t>
      </w:r>
      <w:r>
        <w:rPr>
          <w:rFonts w:cs="David" w:hint="cs"/>
          <w:sz w:val="24"/>
          <w:szCs w:val="24"/>
          <w:rtl/>
        </w:rPr>
        <w:t>המורה להם להימנע מהכנסת ה</w:t>
      </w:r>
      <w:r w:rsidR="005A2B49">
        <w:rPr>
          <w:rFonts w:cs="David" w:hint="cs"/>
          <w:sz w:val="24"/>
          <w:szCs w:val="24"/>
          <w:rtl/>
        </w:rPr>
        <w:t xml:space="preserve">פולשים </w:t>
      </w:r>
      <w:r>
        <w:rPr>
          <w:rFonts w:cs="David" w:hint="cs"/>
          <w:sz w:val="24"/>
          <w:szCs w:val="24"/>
          <w:rtl/>
        </w:rPr>
        <w:t>למקרקעין.</w:t>
      </w:r>
    </w:p>
    <w:p w:rsidR="005A2B49" w:rsidRDefault="005A2B49" w:rsidP="00A35C15">
      <w:pPr>
        <w:pStyle w:val="a9"/>
        <w:numPr>
          <w:ilvl w:val="0"/>
          <w:numId w:val="1"/>
        </w:numPr>
        <w:bidi/>
        <w:spacing w:line="360" w:lineRule="auto"/>
        <w:ind w:hanging="720"/>
        <w:jc w:val="both"/>
        <w:rPr>
          <w:rFonts w:cs="David"/>
          <w:sz w:val="24"/>
          <w:szCs w:val="24"/>
        </w:rPr>
      </w:pPr>
      <w:r w:rsidRPr="00A35C15">
        <w:rPr>
          <w:rFonts w:cs="David" w:hint="cs"/>
          <w:b/>
          <w:bCs/>
          <w:sz w:val="24"/>
          <w:szCs w:val="24"/>
          <w:u w:val="single"/>
          <w:rtl/>
        </w:rPr>
        <w:t>תחולת חוק ההסדרה</w:t>
      </w:r>
      <w:r>
        <w:rPr>
          <w:rFonts w:cs="David" w:hint="cs"/>
          <w:sz w:val="24"/>
          <w:szCs w:val="24"/>
          <w:rtl/>
        </w:rPr>
        <w:t xml:space="preserve"> </w:t>
      </w:r>
      <w:r>
        <w:rPr>
          <w:rFonts w:cs="David"/>
          <w:sz w:val="24"/>
          <w:szCs w:val="24"/>
          <w:rtl/>
        </w:rPr>
        <w:t>–</w:t>
      </w:r>
      <w:r>
        <w:rPr>
          <w:rFonts w:cs="David" w:hint="cs"/>
          <w:sz w:val="24"/>
          <w:szCs w:val="24"/>
          <w:rtl/>
        </w:rPr>
        <w:t xml:space="preserve"> בנוסף לאמור לעיל העותרים יטענו כי חוק ההסדרה חל על החזקתם במקרקעין ועל כן נוספת לטענותיהם הזכות לכך שכל הליך לפגיעה בזכויותיהם </w:t>
      </w:r>
      <w:r>
        <w:rPr>
          <w:rFonts w:cs="David"/>
          <w:sz w:val="24"/>
          <w:szCs w:val="24"/>
          <w:rtl/>
        </w:rPr>
        <w:t>–</w:t>
      </w:r>
      <w:r>
        <w:rPr>
          <w:rFonts w:cs="David" w:hint="cs"/>
          <w:sz w:val="24"/>
          <w:szCs w:val="24"/>
          <w:rtl/>
        </w:rPr>
        <w:t xml:space="preserve"> יוקפא </w:t>
      </w:r>
      <w:r>
        <w:rPr>
          <w:rFonts w:cs="David"/>
          <w:sz w:val="24"/>
          <w:szCs w:val="24"/>
          <w:rtl/>
        </w:rPr>
        <w:t>–</w:t>
      </w:r>
      <w:r>
        <w:rPr>
          <w:rFonts w:cs="David" w:hint="cs"/>
          <w:sz w:val="24"/>
          <w:szCs w:val="24"/>
          <w:rtl/>
        </w:rPr>
        <w:t xml:space="preserve"> ל</w:t>
      </w:r>
      <w:r w:rsidR="00A35C15">
        <w:rPr>
          <w:rFonts w:cs="David" w:hint="cs"/>
          <w:sz w:val="24"/>
          <w:szCs w:val="24"/>
          <w:rtl/>
        </w:rPr>
        <w:t>כ</w:t>
      </w:r>
      <w:r>
        <w:rPr>
          <w:rFonts w:cs="David" w:hint="cs"/>
          <w:sz w:val="24"/>
          <w:szCs w:val="24"/>
          <w:rtl/>
        </w:rPr>
        <w:t>ל הפחות עד לסיום ההליכים בעניינו של חוק ההסדרה.</w:t>
      </w:r>
      <w:r w:rsidR="00A35C15">
        <w:rPr>
          <w:rFonts w:cs="David" w:hint="cs"/>
          <w:sz w:val="24"/>
          <w:szCs w:val="24"/>
          <w:rtl/>
        </w:rPr>
        <w:t xml:space="preserve"> </w:t>
      </w:r>
    </w:p>
    <w:p w:rsidR="00A35C15" w:rsidRDefault="00A35C15" w:rsidP="003738EC">
      <w:pPr>
        <w:pStyle w:val="a9"/>
        <w:numPr>
          <w:ilvl w:val="0"/>
          <w:numId w:val="1"/>
        </w:numPr>
        <w:bidi/>
        <w:spacing w:line="360" w:lineRule="auto"/>
        <w:ind w:hanging="720"/>
        <w:jc w:val="both"/>
        <w:rPr>
          <w:rFonts w:cs="David"/>
          <w:sz w:val="24"/>
          <w:szCs w:val="24"/>
        </w:rPr>
      </w:pPr>
      <w:r>
        <w:rPr>
          <w:rFonts w:cs="David" w:hint="cs"/>
          <w:sz w:val="24"/>
          <w:szCs w:val="24"/>
          <w:rtl/>
        </w:rPr>
        <w:t>לעניין זה יצויין כי המשיבים הודיעו לבית משפט נכבד</w:t>
      </w:r>
      <w:r w:rsidR="00C64F51">
        <w:rPr>
          <w:rFonts w:cs="David" w:hint="cs"/>
          <w:sz w:val="24"/>
          <w:szCs w:val="24"/>
          <w:rtl/>
        </w:rPr>
        <w:t xml:space="preserve"> זה</w:t>
      </w:r>
      <w:r w:rsidR="004C02F0">
        <w:rPr>
          <w:rFonts w:cs="David" w:hint="cs"/>
          <w:sz w:val="24"/>
          <w:szCs w:val="24"/>
          <w:rtl/>
        </w:rPr>
        <w:t>, במסגרת הליכים אחרים המתנהלים בפניו,</w:t>
      </w:r>
      <w:r>
        <w:rPr>
          <w:rFonts w:cs="David" w:hint="cs"/>
          <w:sz w:val="24"/>
          <w:szCs w:val="24"/>
          <w:rtl/>
        </w:rPr>
        <w:t xml:space="preserve"> כי הם הקפיאו את כל הליכי האכיפה כנגד מקרקעין הכלולים לכאורה בחוק ההסדרה </w:t>
      </w:r>
      <w:r>
        <w:rPr>
          <w:rFonts w:cs="David"/>
          <w:sz w:val="24"/>
          <w:szCs w:val="24"/>
          <w:rtl/>
        </w:rPr>
        <w:t>–</w:t>
      </w:r>
      <w:r>
        <w:rPr>
          <w:rFonts w:cs="David" w:hint="cs"/>
          <w:sz w:val="24"/>
          <w:szCs w:val="24"/>
          <w:rtl/>
        </w:rPr>
        <w:t xml:space="preserve"> ומן הדין שייעשה כן גם במקרה דנן.</w:t>
      </w:r>
    </w:p>
    <w:p w:rsidR="005A2B49" w:rsidRDefault="005A2B49" w:rsidP="00A35C15">
      <w:pPr>
        <w:pStyle w:val="a9"/>
        <w:numPr>
          <w:ilvl w:val="0"/>
          <w:numId w:val="1"/>
        </w:numPr>
        <w:bidi/>
        <w:spacing w:line="360" w:lineRule="auto"/>
        <w:ind w:hanging="720"/>
        <w:jc w:val="both"/>
        <w:rPr>
          <w:rFonts w:cs="David"/>
          <w:sz w:val="24"/>
          <w:szCs w:val="24"/>
        </w:rPr>
      </w:pPr>
      <w:r>
        <w:rPr>
          <w:rFonts w:cs="David" w:hint="cs"/>
          <w:sz w:val="24"/>
          <w:szCs w:val="24"/>
          <w:rtl/>
        </w:rPr>
        <w:t>העו</w:t>
      </w:r>
      <w:r w:rsidR="00A35C15">
        <w:rPr>
          <w:rFonts w:cs="David" w:hint="cs"/>
          <w:sz w:val="24"/>
          <w:szCs w:val="24"/>
          <w:rtl/>
        </w:rPr>
        <w:t>ת</w:t>
      </w:r>
      <w:r>
        <w:rPr>
          <w:rFonts w:cs="David" w:hint="cs"/>
          <w:sz w:val="24"/>
          <w:szCs w:val="24"/>
          <w:rtl/>
        </w:rPr>
        <w:t xml:space="preserve">רים ידגישו כי קיימות להם זכויות חזקה במקרקעין גם ללא הוראות חוק ההסדרה </w:t>
      </w:r>
      <w:r>
        <w:rPr>
          <w:rFonts w:cs="David"/>
          <w:sz w:val="24"/>
          <w:szCs w:val="24"/>
          <w:rtl/>
        </w:rPr>
        <w:t>–</w:t>
      </w:r>
      <w:r>
        <w:rPr>
          <w:rFonts w:cs="David" w:hint="cs"/>
          <w:sz w:val="24"/>
          <w:szCs w:val="24"/>
          <w:rtl/>
        </w:rPr>
        <w:t xml:space="preserve"> וטענת תחולת החוק איננה באה לסתור את זכותם במקרקעין.</w:t>
      </w:r>
    </w:p>
    <w:p w:rsidR="00035D76" w:rsidRDefault="00A35C15" w:rsidP="00035D76">
      <w:pPr>
        <w:pStyle w:val="a9"/>
        <w:numPr>
          <w:ilvl w:val="0"/>
          <w:numId w:val="1"/>
        </w:numPr>
        <w:bidi/>
        <w:spacing w:line="360" w:lineRule="auto"/>
        <w:ind w:hanging="720"/>
        <w:jc w:val="both"/>
        <w:rPr>
          <w:rFonts w:cs="David"/>
          <w:sz w:val="24"/>
          <w:szCs w:val="24"/>
        </w:rPr>
      </w:pPr>
      <w:r w:rsidRPr="00035D76">
        <w:rPr>
          <w:rFonts w:cs="David" w:hint="cs"/>
          <w:b/>
          <w:bCs/>
          <w:sz w:val="24"/>
          <w:szCs w:val="24"/>
          <w:u w:val="single"/>
          <w:rtl/>
        </w:rPr>
        <w:lastRenderedPageBreak/>
        <w:t xml:space="preserve">תחולת סעיף 5 </w:t>
      </w:r>
      <w:r w:rsidR="00035D76" w:rsidRPr="00035D76">
        <w:rPr>
          <w:rFonts w:cs="David" w:hint="cs"/>
          <w:b/>
          <w:bCs/>
          <w:sz w:val="24"/>
          <w:szCs w:val="24"/>
          <w:u w:val="single"/>
          <w:rtl/>
        </w:rPr>
        <w:t>לצו בדבר רכוש ממשלתי (יהודה והשומרון) (מס' 59), תשכ"ז-1967</w:t>
      </w:r>
      <w:r w:rsidR="00035D76" w:rsidRPr="00035D76">
        <w:rPr>
          <w:rFonts w:cs="David" w:hint="cs"/>
          <w:sz w:val="24"/>
          <w:szCs w:val="24"/>
          <w:rtl/>
        </w:rPr>
        <w:t xml:space="preserve"> - </w:t>
      </w:r>
      <w:r w:rsidRPr="00035D76">
        <w:rPr>
          <w:rFonts w:cs="David" w:hint="cs"/>
          <w:sz w:val="24"/>
          <w:szCs w:val="24"/>
          <w:rtl/>
        </w:rPr>
        <w:t xml:space="preserve">בנוסף לאמור לעיל העותרים יטענו כי לאור הנתונים העובדתיים במקרה דנן </w:t>
      </w:r>
      <w:r w:rsidRPr="00035D76">
        <w:rPr>
          <w:rFonts w:cs="David"/>
          <w:sz w:val="24"/>
          <w:szCs w:val="24"/>
          <w:rtl/>
        </w:rPr>
        <w:t>–</w:t>
      </w:r>
      <w:r w:rsidRPr="00035D76">
        <w:rPr>
          <w:rFonts w:cs="David" w:hint="cs"/>
          <w:sz w:val="24"/>
          <w:szCs w:val="24"/>
          <w:rtl/>
        </w:rPr>
        <w:t xml:space="preserve"> בו הקרקע הוקצתה כדין לחוות טליה במסגרת "שרשור" הס</w:t>
      </w:r>
      <w:r w:rsidR="00035D76">
        <w:rPr>
          <w:rFonts w:cs="David" w:hint="cs"/>
          <w:sz w:val="24"/>
          <w:szCs w:val="24"/>
          <w:rtl/>
        </w:rPr>
        <w:t>כמים מהממונה על הרכוש הנטוש והמ</w:t>
      </w:r>
      <w:r w:rsidRPr="00035D76">
        <w:rPr>
          <w:rFonts w:cs="David" w:hint="cs"/>
          <w:sz w:val="24"/>
          <w:szCs w:val="24"/>
          <w:rtl/>
        </w:rPr>
        <w:t xml:space="preserve">משלתי ביו"ש, ככל שהתברר כי ההקצאה נעשתה בטעות ובתום לב </w:t>
      </w:r>
      <w:r w:rsidRPr="00035D76">
        <w:rPr>
          <w:rFonts w:cs="David"/>
          <w:sz w:val="24"/>
          <w:szCs w:val="24"/>
          <w:rtl/>
        </w:rPr>
        <w:t>–</w:t>
      </w:r>
      <w:r w:rsidRPr="00035D76">
        <w:rPr>
          <w:rFonts w:cs="David" w:hint="cs"/>
          <w:sz w:val="24"/>
          <w:szCs w:val="24"/>
          <w:rtl/>
        </w:rPr>
        <w:t xml:space="preserve"> עומדת לעותרים הזכות כי ההקצאה תישאר בעינה וזאת לאור האמור בס' 5 </w:t>
      </w:r>
      <w:r w:rsidR="00035D76">
        <w:rPr>
          <w:rFonts w:cs="David" w:hint="cs"/>
          <w:sz w:val="24"/>
          <w:szCs w:val="24"/>
          <w:rtl/>
        </w:rPr>
        <w:t xml:space="preserve">לצו הנ"ל, לפיו: </w:t>
      </w:r>
    </w:p>
    <w:p w:rsidR="00035D76" w:rsidRDefault="00035D76" w:rsidP="00035D76">
      <w:pPr>
        <w:pStyle w:val="a9"/>
        <w:bidi/>
        <w:spacing w:line="360" w:lineRule="auto"/>
        <w:ind w:left="1422" w:right="851"/>
        <w:jc w:val="both"/>
        <w:rPr>
          <w:rFonts w:cs="David"/>
          <w:b/>
          <w:bCs/>
          <w:sz w:val="24"/>
          <w:szCs w:val="24"/>
          <w:rtl/>
        </w:rPr>
      </w:pPr>
      <w:r>
        <w:rPr>
          <w:rFonts w:cs="David" w:hint="cs"/>
          <w:b/>
          <w:bCs/>
          <w:sz w:val="24"/>
          <w:szCs w:val="24"/>
          <w:rtl/>
        </w:rPr>
        <w:t>"</w:t>
      </w:r>
      <w:r w:rsidRPr="00035D76">
        <w:rPr>
          <w:rFonts w:cs="David" w:hint="cs"/>
          <w:b/>
          <w:bCs/>
          <w:sz w:val="24"/>
          <w:szCs w:val="24"/>
          <w:rtl/>
        </w:rPr>
        <w:t xml:space="preserve">כל </w:t>
      </w:r>
      <w:proofErr w:type="spellStart"/>
      <w:r w:rsidRPr="00035D76">
        <w:rPr>
          <w:rFonts w:cs="David" w:hint="cs"/>
          <w:b/>
          <w:bCs/>
          <w:sz w:val="24"/>
          <w:szCs w:val="24"/>
          <w:rtl/>
        </w:rPr>
        <w:t>עיסקה</w:t>
      </w:r>
      <w:proofErr w:type="spellEnd"/>
      <w:r w:rsidRPr="00035D76">
        <w:rPr>
          <w:rFonts w:cs="David" w:hint="cs"/>
          <w:b/>
          <w:bCs/>
          <w:sz w:val="24"/>
          <w:szCs w:val="24"/>
          <w:rtl/>
        </w:rPr>
        <w:t xml:space="preserve"> שנעשתה בתום לב בין הממונה ובין אדם אחר בכל נכס שהממונה חשבו בשעת </w:t>
      </w:r>
      <w:proofErr w:type="spellStart"/>
      <w:r w:rsidRPr="00035D76">
        <w:rPr>
          <w:rFonts w:cs="David" w:hint="cs"/>
          <w:b/>
          <w:bCs/>
          <w:sz w:val="24"/>
          <w:szCs w:val="24"/>
          <w:rtl/>
        </w:rPr>
        <w:t>העיסקה</w:t>
      </w:r>
      <w:proofErr w:type="spellEnd"/>
      <w:r w:rsidRPr="00035D76">
        <w:rPr>
          <w:rFonts w:cs="David" w:hint="cs"/>
          <w:b/>
          <w:bCs/>
          <w:sz w:val="24"/>
          <w:szCs w:val="24"/>
          <w:rtl/>
        </w:rPr>
        <w:t xml:space="preserve"> לרכוש ממשלתי, לא תיפסל ותעמוד בתקפה גם אם יוכח שהנכס לא היה אותה שעה רכוש ממשלתי</w:t>
      </w:r>
      <w:r>
        <w:rPr>
          <w:rFonts w:cs="David" w:hint="cs"/>
          <w:b/>
          <w:bCs/>
          <w:sz w:val="24"/>
          <w:szCs w:val="24"/>
          <w:rtl/>
        </w:rPr>
        <w:t>".</w:t>
      </w:r>
    </w:p>
    <w:p w:rsidR="00A35C15" w:rsidRDefault="00A35C15" w:rsidP="00A35C15">
      <w:pPr>
        <w:pStyle w:val="a9"/>
        <w:numPr>
          <w:ilvl w:val="0"/>
          <w:numId w:val="1"/>
        </w:numPr>
        <w:bidi/>
        <w:spacing w:line="360" w:lineRule="auto"/>
        <w:ind w:hanging="720"/>
        <w:jc w:val="both"/>
        <w:rPr>
          <w:rFonts w:cs="David" w:hint="cs"/>
          <w:sz w:val="24"/>
          <w:szCs w:val="24"/>
        </w:rPr>
      </w:pPr>
      <w:r>
        <w:rPr>
          <w:rFonts w:cs="David" w:hint="cs"/>
          <w:sz w:val="24"/>
          <w:szCs w:val="24"/>
          <w:rtl/>
        </w:rPr>
        <w:t xml:space="preserve">טרם סיום יובהר כי העותרים אינם יודעים על בסיס איזה מסמכים ועובדות נקבע על ידי המשיבים כי הפולשים הוכיחו זכויות במקרקעין נשוא העתירה </w:t>
      </w:r>
      <w:r>
        <w:rPr>
          <w:rFonts w:cs="David"/>
          <w:sz w:val="24"/>
          <w:szCs w:val="24"/>
          <w:rtl/>
        </w:rPr>
        <w:t>–</w:t>
      </w:r>
      <w:r>
        <w:rPr>
          <w:rFonts w:cs="David" w:hint="cs"/>
          <w:sz w:val="24"/>
          <w:szCs w:val="24"/>
          <w:rtl/>
        </w:rPr>
        <w:t xml:space="preserve"> והם שומרים על זכותם להתמודד עם טענות אלו, ככל שיעלו בעתיד.</w:t>
      </w:r>
    </w:p>
    <w:p w:rsidR="00C72BAA" w:rsidRDefault="00C72BAA" w:rsidP="00C72BAA">
      <w:pPr>
        <w:pStyle w:val="a9"/>
        <w:numPr>
          <w:ilvl w:val="0"/>
          <w:numId w:val="1"/>
        </w:numPr>
        <w:bidi/>
        <w:spacing w:line="360" w:lineRule="auto"/>
        <w:ind w:hanging="720"/>
        <w:jc w:val="both"/>
        <w:rPr>
          <w:rFonts w:cs="David"/>
          <w:sz w:val="24"/>
          <w:szCs w:val="24"/>
        </w:rPr>
      </w:pPr>
      <w:r>
        <w:rPr>
          <w:rFonts w:cs="David" w:hint="cs"/>
          <w:sz w:val="24"/>
          <w:szCs w:val="24"/>
          <w:rtl/>
        </w:rPr>
        <w:t xml:space="preserve">עוד יובהר כי לעותרים לא נמסרו מעולם פרטי הפולשים הטוענים לזכויות. ייתכן ומדובר בעותרים שהגישו את העתירה בבג"ץ 2683/98,או בבני משפחתם </w:t>
      </w:r>
      <w:r>
        <w:rPr>
          <w:rFonts w:cs="David"/>
          <w:sz w:val="24"/>
          <w:szCs w:val="24"/>
          <w:rtl/>
        </w:rPr>
        <w:t>–</w:t>
      </w:r>
      <w:r>
        <w:rPr>
          <w:rFonts w:cs="David" w:hint="cs"/>
          <w:sz w:val="24"/>
          <w:szCs w:val="24"/>
          <w:rtl/>
        </w:rPr>
        <w:t xml:space="preserve"> אך העותרים אינם יודעים זאת בוודאות. לאור האמור מתבקש בית המשפט להורות למשיבים למסור לעותרים את פרטי הפולשים על מנת שיוכלו לצרפם כמשיבים לעתירה. </w:t>
      </w:r>
    </w:p>
    <w:p w:rsidR="003F6FF5" w:rsidRDefault="003F6FF5" w:rsidP="00D866C9">
      <w:pPr>
        <w:bidi/>
        <w:spacing w:line="360" w:lineRule="auto"/>
        <w:jc w:val="both"/>
        <w:rPr>
          <w:rFonts w:cs="David"/>
          <w:b/>
          <w:bCs/>
          <w:sz w:val="28"/>
          <w:szCs w:val="28"/>
          <w:u w:val="single"/>
          <w:rtl/>
        </w:rPr>
      </w:pPr>
    </w:p>
    <w:p w:rsidR="00D866C9" w:rsidRPr="00D602B1" w:rsidRDefault="00D866C9" w:rsidP="003F6FF5">
      <w:pPr>
        <w:bidi/>
        <w:spacing w:line="360" w:lineRule="auto"/>
        <w:jc w:val="both"/>
        <w:rPr>
          <w:rFonts w:cs="David"/>
          <w:b/>
          <w:bCs/>
          <w:sz w:val="28"/>
          <w:szCs w:val="28"/>
          <w:u w:val="single"/>
          <w:rtl/>
        </w:rPr>
      </w:pPr>
      <w:r w:rsidRPr="00D602B1">
        <w:rPr>
          <w:rFonts w:cs="David"/>
          <w:b/>
          <w:bCs/>
          <w:sz w:val="28"/>
          <w:szCs w:val="28"/>
          <w:u w:val="single"/>
          <w:rtl/>
        </w:rPr>
        <w:t xml:space="preserve">ואלו הנימוקים בעתירה לצו </w:t>
      </w:r>
      <w:r>
        <w:rPr>
          <w:rFonts w:cs="David" w:hint="cs"/>
          <w:b/>
          <w:bCs/>
          <w:sz w:val="28"/>
          <w:szCs w:val="28"/>
          <w:u w:val="single"/>
          <w:rtl/>
        </w:rPr>
        <w:t xml:space="preserve">ארעי ולצו </w:t>
      </w:r>
      <w:r w:rsidRPr="00D602B1">
        <w:rPr>
          <w:rFonts w:cs="David"/>
          <w:b/>
          <w:bCs/>
          <w:sz w:val="28"/>
          <w:szCs w:val="28"/>
          <w:u w:val="single"/>
          <w:rtl/>
        </w:rPr>
        <w:t>ביניים:</w:t>
      </w:r>
    </w:p>
    <w:p w:rsidR="00D866C9" w:rsidRDefault="00D866C9" w:rsidP="00035D76">
      <w:pPr>
        <w:pStyle w:val="a9"/>
        <w:numPr>
          <w:ilvl w:val="0"/>
          <w:numId w:val="1"/>
        </w:numPr>
        <w:bidi/>
        <w:spacing w:line="360" w:lineRule="auto"/>
        <w:ind w:hanging="720"/>
        <w:jc w:val="both"/>
        <w:rPr>
          <w:rFonts w:cs="David"/>
          <w:sz w:val="24"/>
          <w:szCs w:val="24"/>
        </w:rPr>
      </w:pPr>
      <w:r w:rsidRPr="00D866C9">
        <w:rPr>
          <w:rFonts w:cs="David"/>
          <w:sz w:val="24"/>
          <w:szCs w:val="24"/>
          <w:rtl/>
        </w:rPr>
        <w:t xml:space="preserve">כאמור בפתח עתירה זו, בית המשפט הנכבד מתבקש להוציא מלפניו צו </w:t>
      </w:r>
      <w:r w:rsidRPr="00D866C9">
        <w:rPr>
          <w:rFonts w:cs="David" w:hint="cs"/>
          <w:sz w:val="24"/>
          <w:szCs w:val="24"/>
          <w:rtl/>
        </w:rPr>
        <w:t xml:space="preserve">ארעי וצו </w:t>
      </w:r>
      <w:r w:rsidRPr="00D866C9">
        <w:rPr>
          <w:rFonts w:cs="David"/>
          <w:sz w:val="24"/>
          <w:szCs w:val="24"/>
          <w:rtl/>
        </w:rPr>
        <w:t xml:space="preserve">ביניים </w:t>
      </w:r>
      <w:r w:rsidRPr="00D866C9">
        <w:rPr>
          <w:rFonts w:cs="David" w:hint="cs"/>
          <w:sz w:val="24"/>
          <w:szCs w:val="24"/>
          <w:rtl/>
        </w:rPr>
        <w:t>אשר יורו למשיבים</w:t>
      </w:r>
      <w:r w:rsidR="00035D76">
        <w:rPr>
          <w:rFonts w:cs="David" w:hint="cs"/>
          <w:sz w:val="24"/>
          <w:szCs w:val="24"/>
          <w:rtl/>
        </w:rPr>
        <w:t xml:space="preserve"> </w:t>
      </w:r>
      <w:r w:rsidRPr="00E01BCF">
        <w:rPr>
          <w:rFonts w:cs="David" w:hint="cs"/>
          <w:b/>
          <w:bCs/>
          <w:sz w:val="24"/>
          <w:szCs w:val="24"/>
          <w:rtl/>
        </w:rPr>
        <w:t>להימנע מכל פעולה הפוגעת</w:t>
      </w:r>
      <w:r w:rsidR="000B359B">
        <w:rPr>
          <w:rFonts w:cs="David" w:hint="cs"/>
          <w:b/>
          <w:bCs/>
          <w:sz w:val="24"/>
          <w:szCs w:val="24"/>
          <w:rtl/>
        </w:rPr>
        <w:t xml:space="preserve"> בזכות החזקה של העותר</w:t>
      </w:r>
      <w:r w:rsidR="00035D76">
        <w:rPr>
          <w:rFonts w:cs="David" w:hint="cs"/>
          <w:b/>
          <w:bCs/>
          <w:sz w:val="24"/>
          <w:szCs w:val="24"/>
          <w:rtl/>
        </w:rPr>
        <w:t xml:space="preserve">ים </w:t>
      </w:r>
      <w:r w:rsidR="002B10FE">
        <w:rPr>
          <w:rFonts w:cs="David" w:hint="cs"/>
          <w:b/>
          <w:bCs/>
          <w:sz w:val="24"/>
          <w:szCs w:val="24"/>
          <w:rtl/>
        </w:rPr>
        <w:t xml:space="preserve">בשטחים החקלאיים, נשוא העתירה, </w:t>
      </w:r>
      <w:r w:rsidRPr="00E01BCF">
        <w:rPr>
          <w:rFonts w:cs="David" w:hint="cs"/>
          <w:b/>
          <w:bCs/>
          <w:sz w:val="24"/>
          <w:szCs w:val="24"/>
          <w:rtl/>
        </w:rPr>
        <w:t>וזאת עד להכרעה ומתן פסק דין בעתירה זו.</w:t>
      </w:r>
    </w:p>
    <w:p w:rsidR="00035D76" w:rsidRDefault="00D866C9" w:rsidP="00035D76">
      <w:pPr>
        <w:pStyle w:val="a9"/>
        <w:numPr>
          <w:ilvl w:val="0"/>
          <w:numId w:val="1"/>
        </w:numPr>
        <w:bidi/>
        <w:spacing w:line="360" w:lineRule="auto"/>
        <w:ind w:hanging="720"/>
        <w:jc w:val="both"/>
        <w:rPr>
          <w:rFonts w:cs="David"/>
          <w:sz w:val="24"/>
          <w:szCs w:val="24"/>
        </w:rPr>
      </w:pPr>
      <w:r>
        <w:rPr>
          <w:rFonts w:cs="David" w:hint="cs"/>
          <w:sz w:val="24"/>
          <w:szCs w:val="24"/>
          <w:rtl/>
        </w:rPr>
        <w:t xml:space="preserve">ראשית יובהר </w:t>
      </w:r>
      <w:r>
        <w:rPr>
          <w:rFonts w:cs="David"/>
          <w:sz w:val="24"/>
          <w:szCs w:val="24"/>
          <w:rtl/>
        </w:rPr>
        <w:t>–</w:t>
      </w:r>
      <w:r>
        <w:rPr>
          <w:rFonts w:cs="David" w:hint="cs"/>
          <w:sz w:val="24"/>
          <w:szCs w:val="24"/>
          <w:rtl/>
        </w:rPr>
        <w:t xml:space="preserve"> הצורך בהוצאת צו הארעי הוא </w:t>
      </w:r>
      <w:proofErr w:type="spellStart"/>
      <w:r>
        <w:rPr>
          <w:rFonts w:cs="David" w:hint="cs"/>
          <w:sz w:val="24"/>
          <w:szCs w:val="24"/>
          <w:rtl/>
        </w:rPr>
        <w:t>מיידי</w:t>
      </w:r>
      <w:proofErr w:type="spellEnd"/>
      <w:r>
        <w:rPr>
          <w:rFonts w:cs="David" w:hint="cs"/>
          <w:sz w:val="24"/>
          <w:szCs w:val="24"/>
          <w:rtl/>
        </w:rPr>
        <w:t xml:space="preserve"> שכן המשיבים</w:t>
      </w:r>
      <w:r w:rsidR="00035D76">
        <w:rPr>
          <w:rFonts w:cs="David" w:hint="cs"/>
          <w:sz w:val="24"/>
          <w:szCs w:val="24"/>
          <w:rtl/>
        </w:rPr>
        <w:t xml:space="preserve"> מאפשרים את הכנסת הפולשים כבר עתה ובאופן הפוגע בזכות החזקה של העותרים.</w:t>
      </w:r>
    </w:p>
    <w:p w:rsidR="00D866C9" w:rsidRDefault="00D866C9" w:rsidP="00D866C9">
      <w:pPr>
        <w:pStyle w:val="a9"/>
        <w:numPr>
          <w:ilvl w:val="0"/>
          <w:numId w:val="1"/>
        </w:numPr>
        <w:bidi/>
        <w:spacing w:line="360" w:lineRule="auto"/>
        <w:ind w:hanging="720"/>
        <w:jc w:val="both"/>
        <w:rPr>
          <w:rFonts w:cs="David"/>
          <w:sz w:val="24"/>
          <w:szCs w:val="24"/>
        </w:rPr>
      </w:pPr>
      <w:r>
        <w:rPr>
          <w:rFonts w:cs="David" w:hint="cs"/>
          <w:sz w:val="24"/>
          <w:szCs w:val="24"/>
          <w:rtl/>
        </w:rPr>
        <w:t>לאור זאת ברורה ההצדקה בהוצאת צו ארעי במעמד צד אחד.</w:t>
      </w:r>
    </w:p>
    <w:p w:rsidR="00D866C9" w:rsidRPr="00D866C9" w:rsidRDefault="00D866C9" w:rsidP="00D866C9">
      <w:pPr>
        <w:pStyle w:val="a9"/>
        <w:numPr>
          <w:ilvl w:val="0"/>
          <w:numId w:val="1"/>
        </w:numPr>
        <w:bidi/>
        <w:spacing w:line="360" w:lineRule="auto"/>
        <w:ind w:hanging="720"/>
        <w:jc w:val="both"/>
        <w:rPr>
          <w:rFonts w:cs="David"/>
          <w:sz w:val="24"/>
          <w:szCs w:val="24"/>
        </w:rPr>
      </w:pPr>
      <w:r w:rsidRPr="00D866C9">
        <w:rPr>
          <w:rFonts w:cs="David" w:hint="cs"/>
          <w:sz w:val="24"/>
          <w:szCs w:val="24"/>
          <w:rtl/>
        </w:rPr>
        <w:t>מבחינת ההצדקה להוצאת הצו הארעי וצו ביניים כמבוקש, נראה כי הן שאלת "סיכויי העתירה" והן שאלת "מ</w:t>
      </w:r>
      <w:r>
        <w:rPr>
          <w:rFonts w:cs="David" w:hint="cs"/>
          <w:sz w:val="24"/>
          <w:szCs w:val="24"/>
          <w:rtl/>
        </w:rPr>
        <w:t>אזן הנוחות" נוטים לטובת העותרים.</w:t>
      </w:r>
    </w:p>
    <w:p w:rsidR="000B359B" w:rsidRDefault="00D866C9" w:rsidP="001E1844">
      <w:pPr>
        <w:pStyle w:val="a9"/>
        <w:numPr>
          <w:ilvl w:val="0"/>
          <w:numId w:val="1"/>
        </w:numPr>
        <w:bidi/>
        <w:spacing w:line="360" w:lineRule="auto"/>
        <w:ind w:hanging="720"/>
        <w:jc w:val="both"/>
        <w:rPr>
          <w:rFonts w:cs="David"/>
          <w:sz w:val="24"/>
          <w:szCs w:val="24"/>
        </w:rPr>
      </w:pPr>
      <w:r w:rsidRPr="000B359B">
        <w:rPr>
          <w:rFonts w:cs="David" w:hint="cs"/>
          <w:sz w:val="24"/>
          <w:szCs w:val="24"/>
          <w:rtl/>
        </w:rPr>
        <w:lastRenderedPageBreak/>
        <w:t xml:space="preserve">מבחינת "סיכויי העתירה" </w:t>
      </w:r>
      <w:r w:rsidRPr="000B359B">
        <w:rPr>
          <w:rFonts w:cs="David"/>
          <w:sz w:val="24"/>
          <w:szCs w:val="24"/>
          <w:rtl/>
        </w:rPr>
        <w:t>–</w:t>
      </w:r>
      <w:r w:rsidRPr="000B359B">
        <w:rPr>
          <w:rFonts w:cs="David" w:hint="cs"/>
          <w:sz w:val="24"/>
          <w:szCs w:val="24"/>
          <w:rtl/>
        </w:rPr>
        <w:t xml:space="preserve"> מדובר בעתירה מבוססת המסתמכת על פסקי דין מפורשים של בית המשפט הנכבד, כך שלמר</w:t>
      </w:r>
      <w:r w:rsidR="001E1844" w:rsidRPr="000B359B">
        <w:rPr>
          <w:rFonts w:cs="David" w:hint="cs"/>
          <w:sz w:val="24"/>
          <w:szCs w:val="24"/>
          <w:rtl/>
        </w:rPr>
        <w:t>ות קיומה של חזקת כשרות המעשה המ</w:t>
      </w:r>
      <w:r w:rsidRPr="000B359B">
        <w:rPr>
          <w:rFonts w:cs="David" w:hint="cs"/>
          <w:sz w:val="24"/>
          <w:szCs w:val="24"/>
          <w:rtl/>
        </w:rPr>
        <w:t xml:space="preserve">נהלי </w:t>
      </w:r>
      <w:r w:rsidRPr="000B359B">
        <w:rPr>
          <w:rFonts w:cs="David"/>
          <w:sz w:val="24"/>
          <w:szCs w:val="24"/>
          <w:rtl/>
        </w:rPr>
        <w:t>–</w:t>
      </w:r>
      <w:r w:rsidRPr="000B359B">
        <w:rPr>
          <w:rFonts w:cs="David" w:hint="cs"/>
          <w:sz w:val="24"/>
          <w:szCs w:val="24"/>
          <w:rtl/>
        </w:rPr>
        <w:t xml:space="preserve"> מסכת העובדות והטענות המפורטת לעיל מערערת את החזקה באופן משמעותי.</w:t>
      </w:r>
    </w:p>
    <w:p w:rsidR="00D866C9" w:rsidRPr="000B359B" w:rsidRDefault="00D866C9" w:rsidP="00035D76">
      <w:pPr>
        <w:pStyle w:val="a9"/>
        <w:numPr>
          <w:ilvl w:val="0"/>
          <w:numId w:val="1"/>
        </w:numPr>
        <w:bidi/>
        <w:spacing w:line="360" w:lineRule="auto"/>
        <w:ind w:hanging="720"/>
        <w:jc w:val="both"/>
        <w:rPr>
          <w:rFonts w:cs="David"/>
          <w:sz w:val="24"/>
          <w:szCs w:val="24"/>
        </w:rPr>
      </w:pPr>
      <w:r w:rsidRPr="000B359B">
        <w:rPr>
          <w:rFonts w:cs="David" w:hint="cs"/>
          <w:sz w:val="24"/>
          <w:szCs w:val="24"/>
          <w:rtl/>
        </w:rPr>
        <w:t xml:space="preserve">גם </w:t>
      </w:r>
      <w:r w:rsidR="001E1844" w:rsidRPr="000B359B">
        <w:rPr>
          <w:rFonts w:cs="David" w:hint="cs"/>
          <w:sz w:val="24"/>
          <w:szCs w:val="24"/>
          <w:rtl/>
        </w:rPr>
        <w:t>ב</w:t>
      </w:r>
      <w:r w:rsidRPr="000B359B">
        <w:rPr>
          <w:rFonts w:cs="David" w:hint="cs"/>
          <w:sz w:val="24"/>
          <w:szCs w:val="24"/>
          <w:rtl/>
        </w:rPr>
        <w:t xml:space="preserve">שאלת "מאזן הנוחות" </w:t>
      </w:r>
      <w:r w:rsidR="001E1844" w:rsidRPr="000B359B">
        <w:rPr>
          <w:rFonts w:cs="David" w:hint="cs"/>
          <w:sz w:val="24"/>
          <w:szCs w:val="24"/>
          <w:rtl/>
        </w:rPr>
        <w:t>-</w:t>
      </w:r>
      <w:r w:rsidRPr="000B359B">
        <w:rPr>
          <w:rFonts w:cs="David" w:hint="cs"/>
          <w:sz w:val="24"/>
          <w:szCs w:val="24"/>
          <w:rtl/>
        </w:rPr>
        <w:t xml:space="preserve"> נוטה </w:t>
      </w:r>
      <w:r w:rsidR="001E1844" w:rsidRPr="000B359B">
        <w:rPr>
          <w:rFonts w:cs="David" w:hint="cs"/>
          <w:sz w:val="24"/>
          <w:szCs w:val="24"/>
          <w:rtl/>
        </w:rPr>
        <w:t xml:space="preserve">הכף </w:t>
      </w:r>
      <w:r w:rsidRPr="000B359B">
        <w:rPr>
          <w:rFonts w:cs="David" w:hint="cs"/>
          <w:sz w:val="24"/>
          <w:szCs w:val="24"/>
          <w:rtl/>
        </w:rPr>
        <w:t>באופן ברור לכיוון העותר</w:t>
      </w:r>
      <w:r w:rsidR="00035D76">
        <w:rPr>
          <w:rFonts w:cs="David" w:hint="cs"/>
          <w:sz w:val="24"/>
          <w:szCs w:val="24"/>
          <w:rtl/>
        </w:rPr>
        <w:t>ים</w:t>
      </w:r>
      <w:r w:rsidRPr="000B359B">
        <w:rPr>
          <w:rFonts w:cs="David" w:hint="cs"/>
          <w:sz w:val="24"/>
          <w:szCs w:val="24"/>
          <w:rtl/>
        </w:rPr>
        <w:t>. מדובר בקרקע המוחזקת על יד</w:t>
      </w:r>
      <w:r w:rsidR="00035D76">
        <w:rPr>
          <w:rFonts w:cs="David" w:hint="cs"/>
          <w:sz w:val="24"/>
          <w:szCs w:val="24"/>
          <w:rtl/>
        </w:rPr>
        <w:t>ם</w:t>
      </w:r>
      <w:r w:rsidRPr="000B359B">
        <w:rPr>
          <w:rFonts w:cs="David" w:hint="cs"/>
          <w:sz w:val="24"/>
          <w:szCs w:val="24"/>
          <w:rtl/>
        </w:rPr>
        <w:t xml:space="preserve"> מזה שנים ומימוש החלטת המשיבים - יפגע פגיעה חמורה בזכויותי</w:t>
      </w:r>
      <w:r w:rsidR="00035D76">
        <w:rPr>
          <w:rFonts w:cs="David" w:hint="cs"/>
          <w:sz w:val="24"/>
          <w:szCs w:val="24"/>
          <w:rtl/>
        </w:rPr>
        <w:t>הם</w:t>
      </w:r>
      <w:r w:rsidRPr="000B359B">
        <w:rPr>
          <w:rFonts w:cs="David" w:hint="cs"/>
          <w:sz w:val="24"/>
          <w:szCs w:val="24"/>
          <w:rtl/>
        </w:rPr>
        <w:t xml:space="preserve"> ובקניינ</w:t>
      </w:r>
      <w:r w:rsidR="00035D76">
        <w:rPr>
          <w:rFonts w:cs="David" w:hint="cs"/>
          <w:sz w:val="24"/>
          <w:szCs w:val="24"/>
          <w:rtl/>
        </w:rPr>
        <w:t>ם</w:t>
      </w:r>
      <w:r w:rsidRPr="000B359B">
        <w:rPr>
          <w:rFonts w:cs="David" w:hint="cs"/>
          <w:sz w:val="24"/>
          <w:szCs w:val="24"/>
          <w:rtl/>
        </w:rPr>
        <w:t xml:space="preserve"> של העותר</w:t>
      </w:r>
      <w:r w:rsidR="00035D76">
        <w:rPr>
          <w:rFonts w:cs="David" w:hint="cs"/>
          <w:sz w:val="24"/>
          <w:szCs w:val="24"/>
          <w:rtl/>
        </w:rPr>
        <w:t>ים</w:t>
      </w:r>
      <w:r w:rsidR="004C02F0">
        <w:rPr>
          <w:rFonts w:cs="David" w:hint="cs"/>
          <w:sz w:val="24"/>
          <w:szCs w:val="24"/>
          <w:rtl/>
        </w:rPr>
        <w:t>.</w:t>
      </w:r>
    </w:p>
    <w:p w:rsidR="00D866C9" w:rsidRPr="00D602B1" w:rsidRDefault="00D866C9" w:rsidP="001E1844">
      <w:pPr>
        <w:pStyle w:val="a9"/>
        <w:numPr>
          <w:ilvl w:val="0"/>
          <w:numId w:val="1"/>
        </w:numPr>
        <w:bidi/>
        <w:spacing w:line="360" w:lineRule="auto"/>
        <w:ind w:hanging="720"/>
        <w:jc w:val="both"/>
        <w:rPr>
          <w:rFonts w:cs="David"/>
          <w:sz w:val="24"/>
          <w:szCs w:val="24"/>
        </w:rPr>
      </w:pPr>
      <w:r w:rsidRPr="00D602B1">
        <w:rPr>
          <w:rFonts w:cs="David"/>
          <w:sz w:val="24"/>
          <w:szCs w:val="24"/>
          <w:rtl/>
        </w:rPr>
        <w:t xml:space="preserve">מכל הטעמים </w:t>
      </w:r>
      <w:r w:rsidRPr="00D602B1">
        <w:rPr>
          <w:rFonts w:cs="David" w:hint="cs"/>
          <w:sz w:val="24"/>
          <w:szCs w:val="24"/>
          <w:rtl/>
        </w:rPr>
        <w:t>דלעיל</w:t>
      </w:r>
      <w:r w:rsidRPr="00D602B1">
        <w:rPr>
          <w:rFonts w:cs="David"/>
          <w:sz w:val="24"/>
          <w:szCs w:val="24"/>
          <w:rtl/>
        </w:rPr>
        <w:t xml:space="preserve"> מתבקש בית המשפט הנכבד להוציא צו </w:t>
      </w:r>
      <w:r>
        <w:rPr>
          <w:rFonts w:cs="David" w:hint="cs"/>
          <w:sz w:val="24"/>
          <w:szCs w:val="24"/>
          <w:rtl/>
        </w:rPr>
        <w:t xml:space="preserve">ארעי וצו </w:t>
      </w:r>
      <w:r w:rsidRPr="00D602B1">
        <w:rPr>
          <w:rFonts w:cs="David"/>
          <w:sz w:val="24"/>
          <w:szCs w:val="24"/>
          <w:rtl/>
        </w:rPr>
        <w:t>ביניים כמבוקש</w:t>
      </w:r>
      <w:r w:rsidR="007862D8">
        <w:rPr>
          <w:rFonts w:cs="David" w:hint="cs"/>
          <w:sz w:val="24"/>
          <w:szCs w:val="24"/>
          <w:rtl/>
        </w:rPr>
        <w:t xml:space="preserve"> </w:t>
      </w:r>
      <w:r w:rsidR="001E1844">
        <w:rPr>
          <w:rFonts w:cs="David" w:hint="cs"/>
          <w:sz w:val="24"/>
          <w:szCs w:val="24"/>
          <w:rtl/>
        </w:rPr>
        <w:t>-</w:t>
      </w:r>
      <w:r w:rsidR="007862D8">
        <w:rPr>
          <w:rFonts w:cs="David" w:hint="cs"/>
          <w:sz w:val="24"/>
          <w:szCs w:val="24"/>
          <w:rtl/>
        </w:rPr>
        <w:t xml:space="preserve"> שאם לא כן עשויים המשיבים לאיין את </w:t>
      </w:r>
      <w:proofErr w:type="spellStart"/>
      <w:r w:rsidR="007862D8">
        <w:rPr>
          <w:rFonts w:cs="David" w:hint="cs"/>
          <w:sz w:val="24"/>
          <w:szCs w:val="24"/>
          <w:rtl/>
        </w:rPr>
        <w:t>הסעדים</w:t>
      </w:r>
      <w:proofErr w:type="spellEnd"/>
      <w:r w:rsidR="007862D8">
        <w:rPr>
          <w:rFonts w:cs="David" w:hint="cs"/>
          <w:sz w:val="24"/>
          <w:szCs w:val="24"/>
          <w:rtl/>
        </w:rPr>
        <w:t xml:space="preserve"> המבוקשים בגדרה של עתירה זו.</w:t>
      </w:r>
    </w:p>
    <w:p w:rsidR="002748E4" w:rsidRPr="00176D91" w:rsidRDefault="002748E4" w:rsidP="00847F25">
      <w:pPr>
        <w:bidi/>
        <w:spacing w:line="360" w:lineRule="auto"/>
        <w:jc w:val="both"/>
        <w:rPr>
          <w:rFonts w:cs="David"/>
          <w:b/>
          <w:bCs/>
          <w:sz w:val="28"/>
          <w:szCs w:val="28"/>
          <w:u w:val="single"/>
          <w:rtl/>
        </w:rPr>
      </w:pPr>
      <w:r w:rsidRPr="00176D91">
        <w:rPr>
          <w:rFonts w:cs="David" w:hint="cs"/>
          <w:b/>
          <w:bCs/>
          <w:sz w:val="28"/>
          <w:szCs w:val="28"/>
          <w:u w:val="single"/>
          <w:rtl/>
        </w:rPr>
        <w:t>סיכום</w:t>
      </w:r>
    </w:p>
    <w:p w:rsidR="007862D8" w:rsidRDefault="0003026E" w:rsidP="00FD6F21">
      <w:pPr>
        <w:bidi/>
        <w:spacing w:line="360" w:lineRule="auto"/>
        <w:jc w:val="both"/>
        <w:rPr>
          <w:rFonts w:cs="David"/>
          <w:b/>
          <w:bCs/>
          <w:sz w:val="24"/>
          <w:szCs w:val="24"/>
          <w:rtl/>
        </w:rPr>
      </w:pPr>
      <w:r w:rsidRPr="00E37861">
        <w:rPr>
          <w:rFonts w:cs="David" w:hint="cs"/>
          <w:b/>
          <w:bCs/>
          <w:sz w:val="24"/>
          <w:szCs w:val="24"/>
          <w:rtl/>
        </w:rPr>
        <w:t>אשר על כן</w:t>
      </w:r>
      <w:r w:rsidR="002748E4" w:rsidRPr="00E37861">
        <w:rPr>
          <w:rFonts w:cs="David" w:hint="cs"/>
          <w:b/>
          <w:bCs/>
          <w:sz w:val="24"/>
          <w:szCs w:val="24"/>
          <w:rtl/>
        </w:rPr>
        <w:t xml:space="preserve"> יתבקש בית המשפט הנכבד</w:t>
      </w:r>
      <w:r w:rsidR="007862D8">
        <w:rPr>
          <w:rFonts w:cs="David" w:hint="cs"/>
          <w:b/>
          <w:bCs/>
          <w:sz w:val="24"/>
          <w:szCs w:val="24"/>
          <w:rtl/>
        </w:rPr>
        <w:t>:</w:t>
      </w:r>
    </w:p>
    <w:p w:rsidR="007862D8" w:rsidRDefault="002748E4" w:rsidP="00035D76">
      <w:pPr>
        <w:bidi/>
        <w:spacing w:line="360" w:lineRule="auto"/>
        <w:jc w:val="both"/>
        <w:rPr>
          <w:rFonts w:cs="David"/>
          <w:b/>
          <w:bCs/>
          <w:sz w:val="24"/>
          <w:szCs w:val="24"/>
          <w:rtl/>
        </w:rPr>
      </w:pPr>
      <w:r w:rsidRPr="00847F25">
        <w:rPr>
          <w:rFonts w:cs="David" w:hint="cs"/>
          <w:b/>
          <w:bCs/>
          <w:sz w:val="24"/>
          <w:szCs w:val="24"/>
          <w:u w:val="single"/>
          <w:rtl/>
        </w:rPr>
        <w:t xml:space="preserve">להוציא מלפניו </w:t>
      </w:r>
      <w:r w:rsidR="007862D8" w:rsidRPr="00847F25">
        <w:rPr>
          <w:rFonts w:cs="David" w:hint="cs"/>
          <w:b/>
          <w:bCs/>
          <w:sz w:val="24"/>
          <w:szCs w:val="24"/>
          <w:u w:val="single"/>
          <w:rtl/>
        </w:rPr>
        <w:t>צו ארעי</w:t>
      </w:r>
      <w:r w:rsidR="00847F25">
        <w:rPr>
          <w:rFonts w:cs="David" w:hint="cs"/>
          <w:b/>
          <w:bCs/>
          <w:sz w:val="24"/>
          <w:szCs w:val="24"/>
          <w:rtl/>
        </w:rPr>
        <w:t xml:space="preserve"> במעמד צד אחד</w:t>
      </w:r>
      <w:r w:rsidR="007862D8">
        <w:rPr>
          <w:rFonts w:cs="David" w:hint="cs"/>
          <w:b/>
          <w:bCs/>
          <w:sz w:val="24"/>
          <w:szCs w:val="24"/>
          <w:rtl/>
        </w:rPr>
        <w:t xml:space="preserve"> למניעת</w:t>
      </w:r>
      <w:r w:rsidR="000B359B">
        <w:rPr>
          <w:rFonts w:cs="David" w:hint="cs"/>
          <w:b/>
          <w:bCs/>
          <w:sz w:val="24"/>
          <w:szCs w:val="24"/>
          <w:rtl/>
        </w:rPr>
        <w:t xml:space="preserve"> הכנסת ה</w:t>
      </w:r>
      <w:r w:rsidR="00035D76">
        <w:rPr>
          <w:rFonts w:cs="David" w:hint="cs"/>
          <w:b/>
          <w:bCs/>
          <w:sz w:val="24"/>
          <w:szCs w:val="24"/>
          <w:rtl/>
        </w:rPr>
        <w:t>פולשים ל</w:t>
      </w:r>
      <w:r w:rsidR="000B359B">
        <w:rPr>
          <w:rFonts w:cs="David" w:hint="cs"/>
          <w:b/>
          <w:bCs/>
          <w:sz w:val="24"/>
          <w:szCs w:val="24"/>
          <w:rtl/>
        </w:rPr>
        <w:t>מקרקעין ולפגיעה ב</w:t>
      </w:r>
      <w:r w:rsidR="007862D8">
        <w:rPr>
          <w:rFonts w:cs="David" w:hint="cs"/>
          <w:b/>
          <w:bCs/>
          <w:sz w:val="24"/>
          <w:szCs w:val="24"/>
          <w:rtl/>
        </w:rPr>
        <w:t xml:space="preserve">שטחים החקלאיים, ולאחר קבלת התייחסות המשיבים </w:t>
      </w:r>
      <w:proofErr w:type="spellStart"/>
      <w:r w:rsidR="007862D8" w:rsidRPr="00847F25">
        <w:rPr>
          <w:rFonts w:cs="David" w:hint="cs"/>
          <w:b/>
          <w:bCs/>
          <w:sz w:val="24"/>
          <w:szCs w:val="24"/>
          <w:u w:val="single"/>
          <w:rtl/>
        </w:rPr>
        <w:t>להופכו</w:t>
      </w:r>
      <w:proofErr w:type="spellEnd"/>
      <w:r w:rsidR="007862D8" w:rsidRPr="00847F25">
        <w:rPr>
          <w:rFonts w:cs="David" w:hint="cs"/>
          <w:b/>
          <w:bCs/>
          <w:sz w:val="24"/>
          <w:szCs w:val="24"/>
          <w:u w:val="single"/>
          <w:rtl/>
        </w:rPr>
        <w:t xml:space="preserve"> לצו ביניים</w:t>
      </w:r>
      <w:r w:rsidR="007862D8">
        <w:rPr>
          <w:rFonts w:cs="David" w:hint="cs"/>
          <w:b/>
          <w:bCs/>
          <w:sz w:val="24"/>
          <w:szCs w:val="24"/>
          <w:rtl/>
        </w:rPr>
        <w:t xml:space="preserve"> וזאת עד לסיום ההליכים בעתירה זו.</w:t>
      </w:r>
    </w:p>
    <w:p w:rsidR="002748E4" w:rsidRDefault="007862D8" w:rsidP="007862D8">
      <w:pPr>
        <w:bidi/>
        <w:spacing w:line="360" w:lineRule="auto"/>
        <w:jc w:val="both"/>
        <w:rPr>
          <w:rFonts w:cs="David"/>
          <w:b/>
          <w:bCs/>
          <w:sz w:val="24"/>
          <w:szCs w:val="24"/>
          <w:rtl/>
        </w:rPr>
      </w:pPr>
      <w:r>
        <w:rPr>
          <w:rFonts w:cs="David" w:hint="cs"/>
          <w:b/>
          <w:bCs/>
          <w:sz w:val="24"/>
          <w:szCs w:val="24"/>
          <w:u w:val="single"/>
          <w:rtl/>
        </w:rPr>
        <w:t xml:space="preserve">וכן להוציא מלפניו </w:t>
      </w:r>
      <w:r w:rsidR="002748E4" w:rsidRPr="00E37861">
        <w:rPr>
          <w:rFonts w:cs="David" w:hint="cs"/>
          <w:b/>
          <w:bCs/>
          <w:sz w:val="24"/>
          <w:szCs w:val="24"/>
          <w:u w:val="single"/>
          <w:rtl/>
        </w:rPr>
        <w:t xml:space="preserve">צו על תנאי </w:t>
      </w:r>
      <w:r w:rsidR="002748E4" w:rsidRPr="00E37861">
        <w:rPr>
          <w:rFonts w:cs="David" w:hint="cs"/>
          <w:b/>
          <w:bCs/>
          <w:sz w:val="24"/>
          <w:szCs w:val="24"/>
          <w:rtl/>
        </w:rPr>
        <w:t>כמבוקש ברישא של עתירה זו ולאחר קבלת תגובת המשיבים ושמי</w:t>
      </w:r>
      <w:r w:rsidR="00CB4769" w:rsidRPr="00E37861">
        <w:rPr>
          <w:rFonts w:cs="David" w:hint="cs"/>
          <w:b/>
          <w:bCs/>
          <w:sz w:val="24"/>
          <w:szCs w:val="24"/>
          <w:rtl/>
        </w:rPr>
        <w:t xml:space="preserve">עת טיעונים בעל-פה </w:t>
      </w:r>
      <w:proofErr w:type="spellStart"/>
      <w:r w:rsidR="00CB4769" w:rsidRPr="00E37861">
        <w:rPr>
          <w:rFonts w:cs="David" w:hint="cs"/>
          <w:b/>
          <w:bCs/>
          <w:sz w:val="24"/>
          <w:szCs w:val="24"/>
          <w:rtl/>
        </w:rPr>
        <w:t>להופכו</w:t>
      </w:r>
      <w:proofErr w:type="spellEnd"/>
      <w:r w:rsidR="00CB4769" w:rsidRPr="00E37861">
        <w:rPr>
          <w:rFonts w:cs="David" w:hint="cs"/>
          <w:b/>
          <w:bCs/>
          <w:sz w:val="24"/>
          <w:szCs w:val="24"/>
          <w:rtl/>
        </w:rPr>
        <w:t xml:space="preserve"> למוחלט תוך חיוב המשיבים בהוצאות ושכ"</w:t>
      </w:r>
      <w:r w:rsidR="00063FF5" w:rsidRPr="00E37861">
        <w:rPr>
          <w:rFonts w:cs="David" w:hint="cs"/>
          <w:b/>
          <w:bCs/>
          <w:sz w:val="24"/>
          <w:szCs w:val="24"/>
          <w:rtl/>
        </w:rPr>
        <w:t>ט.</w:t>
      </w:r>
    </w:p>
    <w:p w:rsidR="00847F25" w:rsidRDefault="00847F25" w:rsidP="00847F25">
      <w:pPr>
        <w:bidi/>
        <w:spacing w:line="360" w:lineRule="auto"/>
        <w:jc w:val="both"/>
        <w:rPr>
          <w:rFonts w:cs="David"/>
          <w:b/>
          <w:bCs/>
          <w:sz w:val="24"/>
          <w:szCs w:val="24"/>
          <w:rtl/>
        </w:rPr>
      </w:pPr>
    </w:p>
    <w:p w:rsidR="00035D76" w:rsidRDefault="00035D76" w:rsidP="00035D76">
      <w:pPr>
        <w:bidi/>
        <w:spacing w:line="360" w:lineRule="auto"/>
        <w:ind w:left="4" w:hanging="4"/>
        <w:rPr>
          <w:rFonts w:cs="David"/>
          <w:sz w:val="24"/>
          <w:szCs w:val="24"/>
          <w:rtl/>
        </w:rPr>
      </w:pPr>
      <w:r>
        <w:rPr>
          <w:rFonts w:cs="David" w:hint="cs"/>
          <w:sz w:val="24"/>
          <w:szCs w:val="24"/>
          <w:rtl/>
        </w:rPr>
        <w:t>_______________</w:t>
      </w:r>
    </w:p>
    <w:p w:rsidR="0076259E" w:rsidRPr="00035D76" w:rsidRDefault="00B50E2B" w:rsidP="00035D76">
      <w:pPr>
        <w:bidi/>
        <w:spacing w:line="360" w:lineRule="auto"/>
        <w:ind w:left="4" w:hanging="4"/>
        <w:rPr>
          <w:rFonts w:cs="David"/>
          <w:sz w:val="24"/>
          <w:szCs w:val="24"/>
          <w:rtl/>
        </w:rPr>
      </w:pPr>
      <w:r w:rsidRPr="00035D76">
        <w:rPr>
          <w:rFonts w:cs="David" w:hint="cs"/>
          <w:sz w:val="24"/>
          <w:szCs w:val="24"/>
          <w:rtl/>
        </w:rPr>
        <w:tab/>
      </w:r>
      <w:r w:rsidRPr="00035D76">
        <w:rPr>
          <w:rFonts w:cs="David" w:hint="cs"/>
          <w:sz w:val="24"/>
          <w:szCs w:val="24"/>
          <w:rtl/>
        </w:rPr>
        <w:tab/>
      </w:r>
      <w:r w:rsidRPr="00035D76">
        <w:rPr>
          <w:rFonts w:cs="David" w:hint="cs"/>
          <w:sz w:val="24"/>
          <w:szCs w:val="24"/>
          <w:rtl/>
        </w:rPr>
        <w:tab/>
      </w:r>
      <w:r w:rsidRPr="00035D76">
        <w:rPr>
          <w:rFonts w:cs="David" w:hint="cs"/>
          <w:sz w:val="24"/>
          <w:szCs w:val="24"/>
          <w:rtl/>
        </w:rPr>
        <w:tab/>
      </w:r>
      <w:r w:rsidR="005847EB" w:rsidRPr="00035D76">
        <w:rPr>
          <w:rFonts w:cs="David"/>
          <w:sz w:val="24"/>
          <w:szCs w:val="24"/>
          <w:rtl/>
        </w:rPr>
        <w:t>בועז ארזי, עו"ד</w:t>
      </w:r>
    </w:p>
    <w:p w:rsidR="004E277B" w:rsidRDefault="005847EB" w:rsidP="00035D76">
      <w:pPr>
        <w:pStyle w:val="a9"/>
        <w:bidi/>
        <w:spacing w:line="360" w:lineRule="auto"/>
        <w:ind w:left="4" w:hanging="4"/>
        <w:rPr>
          <w:rFonts w:cs="David"/>
          <w:sz w:val="24"/>
          <w:szCs w:val="24"/>
          <w:rtl/>
        </w:rPr>
      </w:pPr>
      <w:r w:rsidRPr="00176D91">
        <w:rPr>
          <w:rFonts w:cs="David"/>
          <w:sz w:val="24"/>
          <w:szCs w:val="24"/>
          <w:rtl/>
        </w:rPr>
        <w:t xml:space="preserve">ב"כ  </w:t>
      </w:r>
      <w:r w:rsidR="005C2E61" w:rsidRPr="00176D91">
        <w:rPr>
          <w:rFonts w:cs="David"/>
          <w:sz w:val="24"/>
          <w:szCs w:val="24"/>
          <w:rtl/>
        </w:rPr>
        <w:t>העותר</w:t>
      </w:r>
    </w:p>
    <w:p w:rsidR="00B50E2B" w:rsidRDefault="00C72BAA" w:rsidP="00FA31BD">
      <w:pPr>
        <w:pStyle w:val="a9"/>
        <w:bidi/>
        <w:spacing w:line="360" w:lineRule="auto"/>
        <w:ind w:hanging="720"/>
        <w:jc w:val="both"/>
        <w:rPr>
          <w:rFonts w:cs="David"/>
          <w:sz w:val="24"/>
          <w:szCs w:val="24"/>
          <w:rtl/>
        </w:rPr>
      </w:pPr>
      <w:r>
        <w:rPr>
          <w:rFonts w:cs="David" w:hint="cs"/>
          <w:sz w:val="24"/>
          <w:szCs w:val="24"/>
          <w:rtl/>
        </w:rPr>
        <w:t xml:space="preserve">עתירה זו נתמכת בתצהיר העותר 1, </w:t>
      </w:r>
      <w:proofErr w:type="spellStart"/>
      <w:r>
        <w:rPr>
          <w:rFonts w:cs="David" w:hint="cs"/>
          <w:sz w:val="24"/>
          <w:szCs w:val="24"/>
          <w:rtl/>
        </w:rPr>
        <w:t>המצ"ב</w:t>
      </w:r>
      <w:proofErr w:type="spellEnd"/>
      <w:r>
        <w:rPr>
          <w:rFonts w:cs="David" w:hint="cs"/>
          <w:sz w:val="24"/>
          <w:szCs w:val="24"/>
          <w:rtl/>
        </w:rPr>
        <w:t>.</w:t>
      </w:r>
    </w:p>
    <w:p w:rsidR="00F22743" w:rsidRDefault="002049F0" w:rsidP="00C72BAA">
      <w:pPr>
        <w:pStyle w:val="a9"/>
        <w:bidi/>
        <w:spacing w:line="360" w:lineRule="auto"/>
        <w:ind w:hanging="720"/>
        <w:jc w:val="both"/>
        <w:rPr>
          <w:rFonts w:cs="David"/>
          <w:sz w:val="24"/>
          <w:szCs w:val="24"/>
          <w:rtl/>
        </w:rPr>
      </w:pPr>
      <w:r>
        <w:rPr>
          <w:rFonts w:cs="David"/>
          <w:sz w:val="24"/>
          <w:szCs w:val="24"/>
          <w:rtl/>
        </w:rPr>
        <w:t>היום</w:t>
      </w:r>
      <w:r>
        <w:rPr>
          <w:rFonts w:cs="David" w:hint="cs"/>
          <w:sz w:val="24"/>
          <w:szCs w:val="24"/>
          <w:rtl/>
        </w:rPr>
        <w:t xml:space="preserve">, </w:t>
      </w:r>
      <w:r w:rsidR="00035D76">
        <w:rPr>
          <w:rFonts w:cs="David" w:hint="cs"/>
          <w:sz w:val="24"/>
          <w:szCs w:val="24"/>
          <w:rtl/>
        </w:rPr>
        <w:t>י"</w:t>
      </w:r>
      <w:r w:rsidR="00C72BAA">
        <w:rPr>
          <w:rFonts w:cs="David" w:hint="cs"/>
          <w:sz w:val="24"/>
          <w:szCs w:val="24"/>
          <w:rtl/>
        </w:rPr>
        <w:t>ג</w:t>
      </w:r>
      <w:r w:rsidR="00035D76">
        <w:rPr>
          <w:rFonts w:cs="David" w:hint="cs"/>
          <w:sz w:val="24"/>
          <w:szCs w:val="24"/>
          <w:rtl/>
        </w:rPr>
        <w:t xml:space="preserve"> בניסן </w:t>
      </w:r>
      <w:r w:rsidR="00FA31BD">
        <w:rPr>
          <w:rFonts w:cs="David" w:hint="cs"/>
          <w:sz w:val="24"/>
          <w:szCs w:val="24"/>
          <w:rtl/>
        </w:rPr>
        <w:t>תשע"ט</w:t>
      </w:r>
      <w:r w:rsidR="00E84BDF">
        <w:rPr>
          <w:rFonts w:cs="David" w:hint="cs"/>
          <w:sz w:val="24"/>
          <w:szCs w:val="24"/>
          <w:rtl/>
        </w:rPr>
        <w:t xml:space="preserve">, </w:t>
      </w:r>
      <w:r w:rsidR="00035D76">
        <w:rPr>
          <w:rFonts w:cs="David" w:hint="cs"/>
          <w:sz w:val="24"/>
          <w:szCs w:val="24"/>
          <w:rtl/>
        </w:rPr>
        <w:t>1</w:t>
      </w:r>
      <w:r w:rsidR="00C72BAA">
        <w:rPr>
          <w:rFonts w:cs="David" w:hint="cs"/>
          <w:sz w:val="24"/>
          <w:szCs w:val="24"/>
          <w:rtl/>
        </w:rPr>
        <w:t>8</w:t>
      </w:r>
      <w:r w:rsidR="00035D76">
        <w:rPr>
          <w:rFonts w:cs="David" w:hint="cs"/>
          <w:sz w:val="24"/>
          <w:szCs w:val="24"/>
          <w:rtl/>
        </w:rPr>
        <w:t xml:space="preserve"> באפריל</w:t>
      </w:r>
      <w:r w:rsidR="00FA31BD">
        <w:rPr>
          <w:rFonts w:cs="David" w:hint="cs"/>
          <w:sz w:val="24"/>
          <w:szCs w:val="24"/>
          <w:rtl/>
        </w:rPr>
        <w:t xml:space="preserve"> 2019</w:t>
      </w:r>
      <w:r w:rsidR="003920FD">
        <w:rPr>
          <w:rFonts w:cs="David" w:hint="cs"/>
          <w:sz w:val="24"/>
          <w:szCs w:val="24"/>
          <w:rtl/>
        </w:rPr>
        <w:t>.</w:t>
      </w:r>
    </w:p>
    <w:p w:rsidR="0076259E" w:rsidRDefault="0076259E" w:rsidP="00176D91">
      <w:pPr>
        <w:pStyle w:val="a9"/>
        <w:bidi/>
        <w:spacing w:line="360" w:lineRule="auto"/>
        <w:jc w:val="both"/>
        <w:rPr>
          <w:rFonts w:cs="David"/>
          <w:sz w:val="24"/>
          <w:szCs w:val="24"/>
          <w:shd w:val="clear" w:color="auto" w:fill="FF0000"/>
          <w:rtl/>
        </w:rPr>
      </w:pPr>
    </w:p>
    <w:p w:rsidR="000B359B" w:rsidRPr="00176D91" w:rsidRDefault="000B359B" w:rsidP="000B359B">
      <w:pPr>
        <w:pStyle w:val="a9"/>
        <w:bidi/>
        <w:spacing w:line="360" w:lineRule="auto"/>
        <w:jc w:val="both"/>
        <w:rPr>
          <w:rFonts w:cs="David"/>
          <w:sz w:val="24"/>
          <w:szCs w:val="24"/>
          <w:shd w:val="clear" w:color="auto" w:fill="FF0000"/>
          <w:rtl/>
        </w:rPr>
      </w:pPr>
    </w:p>
    <w:p w:rsidR="0076259E" w:rsidRDefault="0076259E" w:rsidP="00176D91">
      <w:pPr>
        <w:bidi/>
        <w:spacing w:line="360" w:lineRule="auto"/>
        <w:jc w:val="both"/>
        <w:rPr>
          <w:rFonts w:cs="David"/>
          <w:sz w:val="24"/>
          <w:szCs w:val="24"/>
          <w:rtl/>
        </w:rPr>
      </w:pPr>
    </w:p>
    <w:p w:rsidR="009B3948" w:rsidRDefault="009B3948" w:rsidP="009B3948">
      <w:pPr>
        <w:bidi/>
        <w:spacing w:line="360" w:lineRule="auto"/>
        <w:jc w:val="both"/>
        <w:rPr>
          <w:rFonts w:cs="David"/>
          <w:sz w:val="24"/>
          <w:szCs w:val="24"/>
          <w:rtl/>
        </w:rPr>
      </w:pPr>
    </w:p>
    <w:p w:rsidR="009B3948" w:rsidRPr="00176D91" w:rsidRDefault="009B3948" w:rsidP="001C0425">
      <w:pPr>
        <w:bidi/>
        <w:spacing w:line="360" w:lineRule="auto"/>
        <w:jc w:val="both"/>
        <w:rPr>
          <w:rFonts w:cs="David"/>
          <w:sz w:val="24"/>
          <w:szCs w:val="24"/>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6094"/>
        <w:gridCol w:w="1385"/>
      </w:tblGrid>
      <w:tr w:rsidR="0076259E" w:rsidRPr="00176D91" w:rsidTr="0070054F">
        <w:tc>
          <w:tcPr>
            <w:tcW w:w="1043"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t>נספח</w:t>
            </w:r>
          </w:p>
        </w:tc>
        <w:tc>
          <w:tcPr>
            <w:tcW w:w="6094"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t>פירוט</w:t>
            </w:r>
          </w:p>
        </w:tc>
        <w:tc>
          <w:tcPr>
            <w:tcW w:w="1385"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t>עמוד</w:t>
            </w: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א'</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C72BAA" w:rsidP="007A3707">
            <w:pPr>
              <w:jc w:val="center"/>
            </w:pPr>
            <w:r w:rsidRPr="00CE0786">
              <w:rPr>
                <w:rFonts w:cs="David" w:hint="cs"/>
                <w:b/>
                <w:bCs/>
                <w:sz w:val="24"/>
                <w:szCs w:val="24"/>
                <w:rtl/>
              </w:rPr>
              <w:t>תגובת ההסתדרות הציונית</w:t>
            </w:r>
            <w:r>
              <w:rPr>
                <w:rFonts w:cs="David" w:hint="cs"/>
                <w:b/>
                <w:bCs/>
                <w:sz w:val="24"/>
                <w:szCs w:val="24"/>
                <w:rtl/>
              </w:rPr>
              <w:t xml:space="preserve"> בבג"ץ 2683/98</w:t>
            </w:r>
            <w:r w:rsidRPr="00CE0786">
              <w:rPr>
                <w:rFonts w:cs="David" w:hint="cs"/>
                <w:b/>
                <w:bCs/>
                <w:sz w:val="24"/>
                <w:szCs w:val="24"/>
                <w:rtl/>
              </w:rPr>
              <w:t xml:space="preserve"> והתצהיר מיום 8.8.2000 המצורף לה</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rPr>
          <w:trHeight w:val="418"/>
        </w:trPr>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ב'</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C72BAA" w:rsidP="007A3707">
            <w:pPr>
              <w:jc w:val="center"/>
            </w:pPr>
            <w:r>
              <w:rPr>
                <w:rFonts w:cs="David" w:hint="cs"/>
                <w:b/>
                <w:bCs/>
                <w:sz w:val="24"/>
                <w:szCs w:val="24"/>
                <w:rtl/>
              </w:rPr>
              <w:t>הסכם ההרשאה מיום 1.9.1984</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ג'</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C72BAA" w:rsidP="007A3707">
            <w:pPr>
              <w:jc w:val="center"/>
            </w:pPr>
            <w:r w:rsidRPr="00961BCF">
              <w:rPr>
                <w:rFonts w:cs="David" w:hint="cs"/>
                <w:b/>
                <w:bCs/>
                <w:sz w:val="24"/>
                <w:szCs w:val="24"/>
                <w:rtl/>
              </w:rPr>
              <w:t>פסק הדין בבג"ץ 2683/98</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ד'</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C72BAA" w:rsidP="007A3707">
            <w:pPr>
              <w:jc w:val="center"/>
            </w:pPr>
            <w:r w:rsidRPr="00820AE8">
              <w:rPr>
                <w:rFonts w:cs="David" w:hint="cs"/>
                <w:b/>
                <w:bCs/>
                <w:sz w:val="24"/>
                <w:szCs w:val="24"/>
                <w:rtl/>
              </w:rPr>
              <w:t>פניית העותרים מיום 11.2.2019</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A3707"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A3707" w:rsidRDefault="007A3707"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ה'</w:t>
            </w:r>
          </w:p>
        </w:tc>
        <w:tc>
          <w:tcPr>
            <w:tcW w:w="6094" w:type="dxa"/>
            <w:tcBorders>
              <w:top w:val="single" w:sz="4" w:space="0" w:color="auto"/>
              <w:left w:val="single" w:sz="4" w:space="0" w:color="auto"/>
              <w:bottom w:val="single" w:sz="4" w:space="0" w:color="auto"/>
              <w:right w:val="single" w:sz="4" w:space="0" w:color="auto"/>
            </w:tcBorders>
            <w:vAlign w:val="bottom"/>
          </w:tcPr>
          <w:p w:rsidR="007A3707" w:rsidRPr="007D5B1C" w:rsidRDefault="00C72BAA" w:rsidP="00132299">
            <w:pPr>
              <w:jc w:val="center"/>
              <w:rPr>
                <w:rFonts w:cs="David"/>
                <w:b/>
                <w:bCs/>
                <w:sz w:val="24"/>
                <w:szCs w:val="24"/>
                <w:rtl/>
              </w:rPr>
            </w:pPr>
            <w:r w:rsidRPr="00EF3D7E">
              <w:rPr>
                <w:rFonts w:cs="David" w:hint="cs"/>
                <w:b/>
                <w:bCs/>
                <w:sz w:val="24"/>
                <w:szCs w:val="24"/>
                <w:rtl/>
              </w:rPr>
              <w:t xml:space="preserve">מכתב </w:t>
            </w:r>
            <w:r>
              <w:rPr>
                <w:rFonts w:cs="David" w:hint="cs"/>
                <w:b/>
                <w:bCs/>
                <w:sz w:val="24"/>
                <w:szCs w:val="24"/>
                <w:rtl/>
              </w:rPr>
              <w:t>המשיב 2 מיום 21.3.2019</w:t>
            </w:r>
          </w:p>
        </w:tc>
        <w:tc>
          <w:tcPr>
            <w:tcW w:w="1385" w:type="dxa"/>
            <w:tcBorders>
              <w:top w:val="single" w:sz="4" w:space="0" w:color="auto"/>
              <w:left w:val="single" w:sz="4" w:space="0" w:color="auto"/>
              <w:bottom w:val="single" w:sz="4" w:space="0" w:color="auto"/>
              <w:right w:val="single" w:sz="4" w:space="0" w:color="auto"/>
            </w:tcBorders>
            <w:vAlign w:val="bottom"/>
          </w:tcPr>
          <w:p w:rsidR="007A3707" w:rsidRPr="00176D91" w:rsidRDefault="007A3707" w:rsidP="0070054F">
            <w:pPr>
              <w:bidi/>
              <w:spacing w:line="360" w:lineRule="auto"/>
              <w:jc w:val="center"/>
              <w:rPr>
                <w:rFonts w:ascii="Times New Roman" w:hAnsi="Times New Roman" w:cs="David"/>
                <w:sz w:val="24"/>
                <w:szCs w:val="24"/>
                <w:rtl/>
              </w:rPr>
            </w:pPr>
          </w:p>
        </w:tc>
      </w:tr>
    </w:tbl>
    <w:p w:rsidR="0076259E" w:rsidRPr="00176D91" w:rsidRDefault="0076259E" w:rsidP="00176D91">
      <w:pPr>
        <w:pStyle w:val="a9"/>
        <w:bidi/>
        <w:spacing w:line="360" w:lineRule="auto"/>
        <w:ind w:left="1140"/>
        <w:jc w:val="both"/>
        <w:rPr>
          <w:rFonts w:cs="David"/>
          <w:sz w:val="24"/>
          <w:szCs w:val="24"/>
          <w:rtl/>
        </w:rPr>
      </w:pPr>
    </w:p>
    <w:p w:rsidR="0076259E" w:rsidRPr="00176D91" w:rsidRDefault="0076259E" w:rsidP="00176D91">
      <w:pPr>
        <w:bidi/>
        <w:spacing w:line="360" w:lineRule="auto"/>
        <w:jc w:val="both"/>
        <w:rPr>
          <w:rFonts w:ascii="Times New Roman" w:hAnsi="Times New Roman" w:cs="David"/>
          <w:b/>
          <w:bCs/>
          <w:sz w:val="24"/>
          <w:szCs w:val="24"/>
          <w:rtl/>
        </w:rPr>
      </w:pPr>
    </w:p>
    <w:p w:rsidR="002508FB" w:rsidRPr="00176D91" w:rsidRDefault="002508FB" w:rsidP="00176D91">
      <w:pPr>
        <w:suppressAutoHyphens w:val="0"/>
        <w:spacing w:after="0" w:line="240" w:lineRule="auto"/>
        <w:jc w:val="left"/>
        <w:rPr>
          <w:sz w:val="48"/>
          <w:szCs w:val="48"/>
        </w:rPr>
      </w:pPr>
      <w:r w:rsidRPr="00176D91">
        <w:rPr>
          <w:sz w:val="48"/>
          <w:szCs w:val="48"/>
          <w:rtl/>
        </w:rPr>
        <w:br w:type="page"/>
      </w:r>
    </w:p>
    <w:p w:rsidR="0076259E" w:rsidRPr="00E245F9" w:rsidRDefault="005847EB" w:rsidP="00E245F9">
      <w:pPr>
        <w:bidi/>
        <w:spacing w:line="360" w:lineRule="auto"/>
        <w:jc w:val="center"/>
        <w:rPr>
          <w:rFonts w:ascii="David" w:hAnsi="David" w:cs="David"/>
          <w:b/>
          <w:bCs/>
          <w:sz w:val="48"/>
          <w:szCs w:val="48"/>
          <w:u w:val="single"/>
          <w:rtl/>
        </w:rPr>
      </w:pPr>
      <w:r w:rsidRPr="00E245F9">
        <w:rPr>
          <w:rFonts w:ascii="David" w:hAnsi="David" w:cs="David"/>
          <w:b/>
          <w:bCs/>
          <w:sz w:val="48"/>
          <w:szCs w:val="48"/>
          <w:u w:val="single"/>
          <w:rtl/>
        </w:rPr>
        <w:lastRenderedPageBreak/>
        <w:t>נספח א'</w:t>
      </w:r>
    </w:p>
    <w:p w:rsidR="002508FB" w:rsidRPr="00E245F9" w:rsidRDefault="00C72BAA" w:rsidP="00C72BAA">
      <w:pPr>
        <w:bidi/>
        <w:spacing w:line="360" w:lineRule="auto"/>
        <w:jc w:val="center"/>
        <w:rPr>
          <w:rFonts w:ascii="David" w:hAnsi="David" w:cs="David"/>
          <w:b/>
          <w:bCs/>
          <w:sz w:val="48"/>
          <w:szCs w:val="48"/>
          <w:rtl/>
        </w:rPr>
      </w:pPr>
      <w:r w:rsidRPr="00C72BAA">
        <w:rPr>
          <w:rFonts w:ascii="David" w:hAnsi="David" w:cs="David" w:hint="cs"/>
          <w:b/>
          <w:bCs/>
          <w:sz w:val="48"/>
          <w:szCs w:val="48"/>
          <w:rtl/>
        </w:rPr>
        <w:t>תגובת ההסתדרות הציונית בבג"ץ 2683/98 והתצהיר מיום 8.8.2000 המצורף לה</w:t>
      </w:r>
    </w:p>
    <w:p w:rsidR="007E1CB5" w:rsidRPr="00E245F9" w:rsidRDefault="007E1CB5"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847F25" w:rsidRPr="00E245F9" w:rsidRDefault="00847F25" w:rsidP="00847F25">
      <w:pPr>
        <w:bidi/>
        <w:spacing w:line="360" w:lineRule="auto"/>
        <w:jc w:val="both"/>
        <w:rPr>
          <w:rFonts w:ascii="David" w:hAnsi="David" w:cs="David"/>
          <w:b/>
          <w:bCs/>
          <w:sz w:val="48"/>
          <w:szCs w:val="48"/>
          <w:rtl/>
        </w:rPr>
      </w:pPr>
    </w:p>
    <w:p w:rsidR="00802CBA" w:rsidRDefault="00802CBA" w:rsidP="00E245F9">
      <w:pPr>
        <w:bidi/>
        <w:spacing w:line="360" w:lineRule="auto"/>
        <w:jc w:val="center"/>
        <w:rPr>
          <w:rFonts w:ascii="David" w:hAnsi="David" w:cs="David"/>
          <w:b/>
          <w:bCs/>
          <w:sz w:val="48"/>
          <w:szCs w:val="48"/>
          <w:rtl/>
        </w:rPr>
      </w:pPr>
    </w:p>
    <w:p w:rsidR="00EF3D7E" w:rsidRDefault="00EF3D7E" w:rsidP="00E245F9">
      <w:pPr>
        <w:bidi/>
        <w:spacing w:line="360" w:lineRule="auto"/>
        <w:rPr>
          <w:rFonts w:ascii="David" w:hAnsi="David" w:cs="David"/>
          <w:sz w:val="48"/>
          <w:szCs w:val="48"/>
          <w:u w:val="single"/>
          <w:rtl/>
        </w:rPr>
      </w:pPr>
    </w:p>
    <w:p w:rsidR="00EF3D7E" w:rsidRDefault="00EF3D7E" w:rsidP="00EF3D7E">
      <w:pPr>
        <w:bidi/>
        <w:spacing w:line="360" w:lineRule="auto"/>
        <w:rPr>
          <w:rFonts w:ascii="David" w:hAnsi="David" w:cs="David"/>
          <w:sz w:val="48"/>
          <w:szCs w:val="48"/>
          <w:u w:val="single"/>
          <w:rtl/>
        </w:rPr>
      </w:pPr>
    </w:p>
    <w:p w:rsidR="00EF3D7E" w:rsidRDefault="00EF3D7E" w:rsidP="00EF3D7E">
      <w:pPr>
        <w:bidi/>
        <w:spacing w:line="360" w:lineRule="auto"/>
        <w:rPr>
          <w:rFonts w:ascii="David" w:hAnsi="David" w:cs="David"/>
          <w:sz w:val="48"/>
          <w:szCs w:val="48"/>
          <w:u w:val="single"/>
          <w:rtl/>
        </w:rPr>
      </w:pPr>
    </w:p>
    <w:p w:rsidR="002508FB" w:rsidRPr="00EB5434" w:rsidRDefault="001B70D6" w:rsidP="00EB5434">
      <w:pPr>
        <w:bidi/>
        <w:spacing w:line="360" w:lineRule="auto"/>
        <w:rPr>
          <w:rFonts w:ascii="David" w:hAnsi="David" w:cs="David"/>
          <w:sz w:val="48"/>
          <w:szCs w:val="48"/>
          <w:u w:val="single"/>
          <w:rtl/>
        </w:rPr>
      </w:pPr>
      <w:r w:rsidRPr="00EB5434">
        <w:rPr>
          <w:rFonts w:ascii="David" w:hAnsi="David" w:cs="David"/>
          <w:sz w:val="48"/>
          <w:szCs w:val="48"/>
          <w:u w:val="single"/>
          <w:rtl/>
        </w:rPr>
        <w:t>נספח א'</w:t>
      </w:r>
    </w:p>
    <w:p w:rsidR="00C72BAA" w:rsidRPr="00EB5434" w:rsidRDefault="00C72BAA" w:rsidP="00EB5434">
      <w:pPr>
        <w:bidi/>
        <w:spacing w:line="360" w:lineRule="auto"/>
        <w:rPr>
          <w:rFonts w:ascii="David" w:hAnsi="David" w:cs="David" w:hint="cs"/>
          <w:sz w:val="48"/>
          <w:szCs w:val="48"/>
          <w:rtl/>
        </w:rPr>
      </w:pPr>
      <w:r w:rsidRPr="00EB5434">
        <w:rPr>
          <w:rFonts w:ascii="David" w:hAnsi="David" w:cs="David" w:hint="cs"/>
          <w:sz w:val="48"/>
          <w:szCs w:val="48"/>
          <w:rtl/>
        </w:rPr>
        <w:t>תגובת ההסתדרות הציונית בבג"ץ 2683/98 והתצהיר מיום 8.8.2000 המצורף לה</w:t>
      </w:r>
      <w:r w:rsidRPr="00EB5434">
        <w:rPr>
          <w:rFonts w:ascii="David" w:hAnsi="David" w:cs="David"/>
          <w:sz w:val="48"/>
          <w:szCs w:val="48"/>
          <w:rtl/>
        </w:rPr>
        <w:t xml:space="preserve"> </w:t>
      </w:r>
    </w:p>
    <w:p w:rsidR="0076259E" w:rsidRPr="00E245F9" w:rsidRDefault="005847EB" w:rsidP="00C72BAA">
      <w:pPr>
        <w:bidi/>
        <w:spacing w:line="360" w:lineRule="auto"/>
        <w:jc w:val="center"/>
        <w:rPr>
          <w:rFonts w:ascii="David" w:hAnsi="David" w:cs="David"/>
          <w:b/>
          <w:bCs/>
          <w:sz w:val="48"/>
          <w:szCs w:val="48"/>
          <w:u w:val="single"/>
          <w:rtl/>
        </w:rPr>
      </w:pPr>
      <w:r w:rsidRPr="00E245F9">
        <w:rPr>
          <w:rFonts w:ascii="David" w:hAnsi="David" w:cs="David"/>
          <w:b/>
          <w:bCs/>
          <w:sz w:val="48"/>
          <w:szCs w:val="48"/>
          <w:u w:val="single"/>
          <w:rtl/>
        </w:rPr>
        <w:lastRenderedPageBreak/>
        <w:t>נספח ב'</w:t>
      </w:r>
    </w:p>
    <w:p w:rsidR="0076259E" w:rsidRPr="00E245F9" w:rsidRDefault="00EB5434" w:rsidP="00EB5434">
      <w:pPr>
        <w:bidi/>
        <w:spacing w:line="360" w:lineRule="auto"/>
        <w:jc w:val="center"/>
        <w:rPr>
          <w:rFonts w:ascii="David" w:hAnsi="David" w:cs="David"/>
          <w:b/>
          <w:bCs/>
          <w:sz w:val="48"/>
          <w:szCs w:val="48"/>
          <w:rtl/>
        </w:rPr>
      </w:pPr>
      <w:r w:rsidRPr="00EB5434">
        <w:rPr>
          <w:rFonts w:ascii="David" w:hAnsi="David" w:cs="David" w:hint="cs"/>
          <w:b/>
          <w:bCs/>
          <w:sz w:val="48"/>
          <w:szCs w:val="48"/>
          <w:rtl/>
        </w:rPr>
        <w:t>הסכם ההרשאה מיום 1.9.1984</w:t>
      </w:r>
    </w:p>
    <w:p w:rsidR="0076259E" w:rsidRPr="00E245F9" w:rsidRDefault="0076259E" w:rsidP="00E245F9">
      <w:pPr>
        <w:bidi/>
        <w:spacing w:line="360" w:lineRule="auto"/>
        <w:jc w:val="center"/>
        <w:rPr>
          <w:rFonts w:ascii="David" w:hAnsi="David" w:cs="David"/>
          <w:b/>
          <w:bCs/>
          <w:sz w:val="48"/>
          <w:szCs w:val="48"/>
          <w:rtl/>
        </w:rPr>
      </w:pPr>
    </w:p>
    <w:p w:rsidR="00802CBA" w:rsidRPr="00E245F9" w:rsidRDefault="00802CBA"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A54A30" w:rsidRDefault="00A54A30"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EF3D7E" w:rsidRDefault="00EF3D7E" w:rsidP="00715AF2">
      <w:pPr>
        <w:bidi/>
        <w:spacing w:line="360" w:lineRule="auto"/>
        <w:rPr>
          <w:rFonts w:ascii="David" w:hAnsi="David" w:cs="David"/>
          <w:sz w:val="48"/>
          <w:szCs w:val="48"/>
          <w:u w:val="single"/>
          <w:rtl/>
        </w:rPr>
      </w:pPr>
    </w:p>
    <w:p w:rsidR="00EF3D7E" w:rsidRDefault="00EF3D7E" w:rsidP="00EF3D7E">
      <w:pPr>
        <w:bidi/>
        <w:spacing w:line="360" w:lineRule="auto"/>
        <w:rPr>
          <w:rFonts w:ascii="David" w:hAnsi="David" w:cs="David"/>
          <w:sz w:val="48"/>
          <w:szCs w:val="48"/>
          <w:u w:val="single"/>
          <w:rtl/>
        </w:rPr>
      </w:pPr>
    </w:p>
    <w:p w:rsidR="00EF3D7E" w:rsidRDefault="00EF3D7E" w:rsidP="00EF3D7E">
      <w:pPr>
        <w:bidi/>
        <w:spacing w:line="360" w:lineRule="auto"/>
        <w:rPr>
          <w:rFonts w:ascii="David" w:hAnsi="David" w:cs="David"/>
          <w:sz w:val="48"/>
          <w:szCs w:val="48"/>
          <w:u w:val="single"/>
          <w:rtl/>
        </w:rPr>
      </w:pPr>
    </w:p>
    <w:p w:rsidR="00EB5434" w:rsidRDefault="00EB5434" w:rsidP="00EF3D7E">
      <w:pPr>
        <w:bidi/>
        <w:spacing w:line="360" w:lineRule="auto"/>
        <w:rPr>
          <w:rFonts w:ascii="David" w:hAnsi="David" w:cs="David" w:hint="cs"/>
          <w:sz w:val="48"/>
          <w:szCs w:val="48"/>
          <w:u w:val="single"/>
          <w:rtl/>
        </w:rPr>
      </w:pPr>
    </w:p>
    <w:p w:rsidR="0076259E" w:rsidRPr="00EB5434" w:rsidRDefault="005847EB" w:rsidP="00EB5434">
      <w:pPr>
        <w:bidi/>
        <w:spacing w:line="360" w:lineRule="auto"/>
        <w:rPr>
          <w:rFonts w:ascii="David" w:hAnsi="David" w:cs="David"/>
          <w:sz w:val="48"/>
          <w:szCs w:val="48"/>
          <w:u w:val="single"/>
          <w:rtl/>
        </w:rPr>
      </w:pPr>
      <w:r w:rsidRPr="00EB5434">
        <w:rPr>
          <w:rFonts w:ascii="David" w:hAnsi="David" w:cs="David"/>
          <w:sz w:val="48"/>
          <w:szCs w:val="48"/>
          <w:u w:val="single"/>
          <w:rtl/>
        </w:rPr>
        <w:t>נספח ב'</w:t>
      </w:r>
    </w:p>
    <w:p w:rsidR="00EB5434" w:rsidRPr="00EB5434" w:rsidRDefault="00EB5434" w:rsidP="00EB5434">
      <w:pPr>
        <w:bidi/>
        <w:spacing w:line="360" w:lineRule="auto"/>
        <w:rPr>
          <w:rFonts w:ascii="David" w:hAnsi="David" w:cs="David" w:hint="cs"/>
          <w:sz w:val="48"/>
          <w:szCs w:val="48"/>
          <w:rtl/>
        </w:rPr>
      </w:pPr>
      <w:r w:rsidRPr="00EB5434">
        <w:rPr>
          <w:rFonts w:ascii="David" w:hAnsi="David" w:cs="David" w:hint="cs"/>
          <w:sz w:val="48"/>
          <w:szCs w:val="48"/>
          <w:rtl/>
        </w:rPr>
        <w:t>הסכם ההרשאה מיום 1.9.1984</w:t>
      </w:r>
    </w:p>
    <w:p w:rsidR="0070054F" w:rsidRPr="00E245F9" w:rsidRDefault="0070054F" w:rsidP="00EB5434">
      <w:pPr>
        <w:bidi/>
        <w:spacing w:line="360" w:lineRule="auto"/>
        <w:jc w:val="center"/>
        <w:rPr>
          <w:rFonts w:ascii="David" w:hAnsi="David" w:cs="David"/>
          <w:b/>
          <w:bCs/>
          <w:sz w:val="48"/>
          <w:szCs w:val="48"/>
          <w:u w:val="single"/>
          <w:rtl/>
        </w:rPr>
      </w:pPr>
      <w:r w:rsidRPr="00E245F9">
        <w:rPr>
          <w:rFonts w:ascii="David" w:hAnsi="David" w:cs="David"/>
          <w:b/>
          <w:bCs/>
          <w:sz w:val="48"/>
          <w:szCs w:val="48"/>
          <w:u w:val="single"/>
          <w:rtl/>
        </w:rPr>
        <w:lastRenderedPageBreak/>
        <w:t xml:space="preserve">נספח </w:t>
      </w:r>
      <w:r w:rsidR="00A54A30" w:rsidRPr="00E245F9">
        <w:rPr>
          <w:rFonts w:ascii="David" w:hAnsi="David" w:cs="David"/>
          <w:b/>
          <w:bCs/>
          <w:sz w:val="48"/>
          <w:szCs w:val="48"/>
          <w:u w:val="single"/>
          <w:rtl/>
        </w:rPr>
        <w:t>ג</w:t>
      </w:r>
      <w:r w:rsidRPr="00E245F9">
        <w:rPr>
          <w:rFonts w:ascii="David" w:hAnsi="David" w:cs="David"/>
          <w:b/>
          <w:bCs/>
          <w:sz w:val="48"/>
          <w:szCs w:val="48"/>
          <w:u w:val="single"/>
          <w:rtl/>
        </w:rPr>
        <w:t>'</w:t>
      </w:r>
    </w:p>
    <w:p w:rsidR="0070054F" w:rsidRPr="00E245F9" w:rsidRDefault="00EB5434" w:rsidP="00EB5434">
      <w:pPr>
        <w:bidi/>
        <w:spacing w:line="360" w:lineRule="auto"/>
        <w:jc w:val="center"/>
        <w:rPr>
          <w:rFonts w:ascii="David" w:hAnsi="David" w:cs="David"/>
          <w:b/>
          <w:bCs/>
          <w:sz w:val="48"/>
          <w:szCs w:val="48"/>
          <w:rtl/>
        </w:rPr>
      </w:pPr>
      <w:r w:rsidRPr="00EB5434">
        <w:rPr>
          <w:rFonts w:ascii="David" w:hAnsi="David" w:cs="David" w:hint="cs"/>
          <w:b/>
          <w:bCs/>
          <w:sz w:val="48"/>
          <w:szCs w:val="48"/>
          <w:rtl/>
        </w:rPr>
        <w:t>פסק הדין בבג"ץ 2683/98</w:t>
      </w:r>
    </w:p>
    <w:p w:rsidR="0070054F" w:rsidRPr="00E245F9" w:rsidRDefault="0070054F" w:rsidP="00E245F9">
      <w:pPr>
        <w:bidi/>
        <w:spacing w:line="360" w:lineRule="auto"/>
        <w:jc w:val="center"/>
        <w:rPr>
          <w:rFonts w:ascii="David" w:hAnsi="David" w:cs="David"/>
          <w:b/>
          <w:bCs/>
          <w:sz w:val="48"/>
          <w:szCs w:val="48"/>
          <w:rtl/>
        </w:rPr>
      </w:pPr>
    </w:p>
    <w:p w:rsidR="0070054F" w:rsidRPr="00E245F9" w:rsidRDefault="0070054F"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A54A30" w:rsidRDefault="00A54A30" w:rsidP="00E245F9">
      <w:pPr>
        <w:bidi/>
        <w:spacing w:line="360" w:lineRule="auto"/>
        <w:jc w:val="center"/>
        <w:rPr>
          <w:rFonts w:ascii="David" w:hAnsi="David" w:cs="David"/>
          <w:b/>
          <w:bCs/>
          <w:sz w:val="48"/>
          <w:szCs w:val="48"/>
          <w:rtl/>
        </w:rPr>
      </w:pPr>
    </w:p>
    <w:p w:rsidR="00E245F9" w:rsidRPr="00E245F9" w:rsidRDefault="00E245F9" w:rsidP="00E245F9">
      <w:pPr>
        <w:bidi/>
        <w:spacing w:line="360" w:lineRule="auto"/>
        <w:jc w:val="center"/>
        <w:rPr>
          <w:rFonts w:ascii="David" w:hAnsi="David" w:cs="David"/>
          <w:b/>
          <w:bCs/>
          <w:sz w:val="48"/>
          <w:szCs w:val="48"/>
          <w:rtl/>
        </w:rPr>
      </w:pPr>
    </w:p>
    <w:p w:rsidR="0070054F" w:rsidRPr="00E245F9" w:rsidRDefault="0070054F" w:rsidP="00E245F9">
      <w:pPr>
        <w:bidi/>
        <w:spacing w:line="360" w:lineRule="auto"/>
        <w:jc w:val="center"/>
        <w:rPr>
          <w:rFonts w:ascii="David" w:hAnsi="David" w:cs="David"/>
          <w:b/>
          <w:bCs/>
          <w:sz w:val="48"/>
          <w:szCs w:val="48"/>
          <w:rtl/>
        </w:rPr>
      </w:pPr>
    </w:p>
    <w:p w:rsidR="00132299" w:rsidRDefault="00132299" w:rsidP="00132299">
      <w:pPr>
        <w:bidi/>
        <w:spacing w:line="360" w:lineRule="auto"/>
        <w:rPr>
          <w:rFonts w:ascii="David" w:hAnsi="David" w:cs="David"/>
          <w:sz w:val="48"/>
          <w:szCs w:val="48"/>
          <w:u w:val="single"/>
          <w:rtl/>
        </w:rPr>
      </w:pPr>
    </w:p>
    <w:p w:rsidR="00EF3D7E" w:rsidRDefault="00EF3D7E" w:rsidP="00132299">
      <w:pPr>
        <w:bidi/>
        <w:spacing w:line="360" w:lineRule="auto"/>
        <w:rPr>
          <w:rFonts w:ascii="David" w:hAnsi="David" w:cs="David"/>
          <w:sz w:val="48"/>
          <w:szCs w:val="48"/>
          <w:u w:val="single"/>
          <w:rtl/>
        </w:rPr>
      </w:pPr>
    </w:p>
    <w:p w:rsidR="00EB5434" w:rsidRDefault="00EB5434" w:rsidP="00EB5434">
      <w:pPr>
        <w:tabs>
          <w:tab w:val="left" w:pos="5691"/>
          <w:tab w:val="right" w:pos="9360"/>
        </w:tabs>
        <w:bidi/>
        <w:spacing w:line="360" w:lineRule="auto"/>
        <w:jc w:val="left"/>
        <w:rPr>
          <w:rFonts w:ascii="David" w:hAnsi="David" w:cs="David" w:hint="cs"/>
          <w:sz w:val="48"/>
          <w:szCs w:val="48"/>
          <w:rtl/>
        </w:rPr>
      </w:pPr>
      <w:r>
        <w:rPr>
          <w:rFonts w:ascii="David" w:hAnsi="David" w:cs="David"/>
          <w:sz w:val="48"/>
          <w:szCs w:val="48"/>
          <w:rtl/>
        </w:rPr>
        <w:tab/>
      </w:r>
      <w:r>
        <w:rPr>
          <w:rFonts w:ascii="David" w:hAnsi="David" w:cs="David"/>
          <w:sz w:val="48"/>
          <w:szCs w:val="48"/>
          <w:rtl/>
        </w:rPr>
        <w:tab/>
      </w:r>
    </w:p>
    <w:p w:rsidR="0070054F" w:rsidRPr="00EB5434" w:rsidRDefault="0070054F" w:rsidP="00EB5434">
      <w:pPr>
        <w:tabs>
          <w:tab w:val="left" w:pos="5691"/>
          <w:tab w:val="right" w:pos="9360"/>
        </w:tabs>
        <w:bidi/>
        <w:spacing w:line="360" w:lineRule="auto"/>
        <w:rPr>
          <w:rFonts w:ascii="David" w:hAnsi="David" w:cs="David"/>
          <w:sz w:val="48"/>
          <w:szCs w:val="48"/>
          <w:u w:val="single"/>
          <w:rtl/>
        </w:rPr>
      </w:pPr>
      <w:r w:rsidRPr="00EB5434">
        <w:rPr>
          <w:rFonts w:ascii="David" w:hAnsi="David" w:cs="David"/>
          <w:sz w:val="48"/>
          <w:szCs w:val="48"/>
          <w:u w:val="single"/>
          <w:rtl/>
        </w:rPr>
        <w:t xml:space="preserve">נספח </w:t>
      </w:r>
      <w:r w:rsidR="00A54A30" w:rsidRPr="00EB5434">
        <w:rPr>
          <w:rFonts w:ascii="David" w:hAnsi="David" w:cs="David"/>
          <w:sz w:val="48"/>
          <w:szCs w:val="48"/>
          <w:u w:val="single"/>
          <w:rtl/>
        </w:rPr>
        <w:t>ג</w:t>
      </w:r>
      <w:r w:rsidRPr="00EB5434">
        <w:rPr>
          <w:rFonts w:ascii="David" w:hAnsi="David" w:cs="David"/>
          <w:sz w:val="48"/>
          <w:szCs w:val="48"/>
          <w:u w:val="single"/>
          <w:rtl/>
        </w:rPr>
        <w:t>'</w:t>
      </w:r>
    </w:p>
    <w:p w:rsidR="00EB5434" w:rsidRPr="00EB5434" w:rsidRDefault="00EB5434" w:rsidP="00EB5434">
      <w:pPr>
        <w:tabs>
          <w:tab w:val="left" w:pos="5691"/>
          <w:tab w:val="right" w:pos="9360"/>
        </w:tabs>
        <w:bidi/>
        <w:spacing w:line="360" w:lineRule="auto"/>
        <w:rPr>
          <w:rFonts w:ascii="David" w:hAnsi="David" w:cs="David" w:hint="cs"/>
          <w:sz w:val="48"/>
          <w:szCs w:val="48"/>
          <w:rtl/>
        </w:rPr>
      </w:pPr>
      <w:r w:rsidRPr="00EB5434">
        <w:rPr>
          <w:rFonts w:ascii="David" w:hAnsi="David" w:cs="David" w:hint="cs"/>
          <w:sz w:val="48"/>
          <w:szCs w:val="48"/>
          <w:rtl/>
        </w:rPr>
        <w:t>פסק הדין בבג"ץ 2683/98</w:t>
      </w:r>
    </w:p>
    <w:p w:rsidR="0070054F" w:rsidRPr="00E245F9" w:rsidRDefault="0070054F" w:rsidP="00EB5434">
      <w:pPr>
        <w:bidi/>
        <w:spacing w:line="360" w:lineRule="auto"/>
        <w:jc w:val="center"/>
        <w:rPr>
          <w:rFonts w:ascii="David" w:hAnsi="David" w:cs="David"/>
          <w:b/>
          <w:bCs/>
          <w:sz w:val="48"/>
          <w:szCs w:val="48"/>
          <w:u w:val="single"/>
          <w:rtl/>
        </w:rPr>
      </w:pPr>
      <w:r w:rsidRPr="00E245F9">
        <w:rPr>
          <w:rFonts w:ascii="David" w:hAnsi="David" w:cs="David"/>
          <w:b/>
          <w:bCs/>
          <w:sz w:val="48"/>
          <w:szCs w:val="48"/>
          <w:u w:val="single"/>
          <w:rtl/>
        </w:rPr>
        <w:lastRenderedPageBreak/>
        <w:t xml:space="preserve">נספח </w:t>
      </w:r>
      <w:r w:rsidR="00A54A30" w:rsidRPr="00E245F9">
        <w:rPr>
          <w:rFonts w:ascii="David" w:hAnsi="David" w:cs="David"/>
          <w:b/>
          <w:bCs/>
          <w:sz w:val="48"/>
          <w:szCs w:val="48"/>
          <w:u w:val="single"/>
          <w:rtl/>
        </w:rPr>
        <w:t>ד</w:t>
      </w:r>
      <w:r w:rsidRPr="00E245F9">
        <w:rPr>
          <w:rFonts w:ascii="David" w:hAnsi="David" w:cs="David"/>
          <w:b/>
          <w:bCs/>
          <w:sz w:val="48"/>
          <w:szCs w:val="48"/>
          <w:u w:val="single"/>
          <w:rtl/>
        </w:rPr>
        <w:t>'</w:t>
      </w:r>
    </w:p>
    <w:p w:rsidR="0070054F" w:rsidRPr="00E245F9" w:rsidRDefault="00EB5434" w:rsidP="00EB5434">
      <w:pPr>
        <w:bidi/>
        <w:spacing w:line="360" w:lineRule="auto"/>
        <w:jc w:val="center"/>
        <w:rPr>
          <w:rFonts w:ascii="David" w:hAnsi="David" w:cs="David"/>
          <w:b/>
          <w:bCs/>
          <w:sz w:val="48"/>
          <w:szCs w:val="48"/>
          <w:rtl/>
        </w:rPr>
      </w:pPr>
      <w:r w:rsidRPr="00EB5434">
        <w:rPr>
          <w:rFonts w:ascii="David" w:hAnsi="David" w:cs="David" w:hint="cs"/>
          <w:b/>
          <w:bCs/>
          <w:sz w:val="48"/>
          <w:szCs w:val="48"/>
          <w:rtl/>
        </w:rPr>
        <w:t>פניית העותרים מיום 11.2.2019</w:t>
      </w:r>
    </w:p>
    <w:p w:rsidR="0070054F" w:rsidRPr="00E245F9" w:rsidRDefault="0070054F" w:rsidP="00E245F9">
      <w:pPr>
        <w:bidi/>
        <w:spacing w:line="360" w:lineRule="auto"/>
        <w:jc w:val="center"/>
        <w:rPr>
          <w:rFonts w:ascii="David" w:hAnsi="David" w:cs="David"/>
          <w:b/>
          <w:bCs/>
          <w:sz w:val="48"/>
          <w:szCs w:val="48"/>
          <w:rtl/>
        </w:rPr>
      </w:pPr>
    </w:p>
    <w:p w:rsidR="0070054F" w:rsidRPr="00E245F9" w:rsidRDefault="0070054F"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A54A30" w:rsidRDefault="00A54A30" w:rsidP="00E245F9">
      <w:pPr>
        <w:bidi/>
        <w:spacing w:line="360" w:lineRule="auto"/>
        <w:jc w:val="center"/>
        <w:rPr>
          <w:rFonts w:ascii="David" w:hAnsi="David" w:cs="David"/>
          <w:b/>
          <w:bCs/>
          <w:sz w:val="48"/>
          <w:szCs w:val="48"/>
          <w:rtl/>
        </w:rPr>
      </w:pPr>
    </w:p>
    <w:p w:rsidR="00E245F9" w:rsidRPr="00E245F9" w:rsidRDefault="00E245F9" w:rsidP="00E245F9">
      <w:pPr>
        <w:bidi/>
        <w:spacing w:line="360" w:lineRule="auto"/>
        <w:jc w:val="center"/>
        <w:rPr>
          <w:rFonts w:ascii="David" w:hAnsi="David" w:cs="David"/>
          <w:b/>
          <w:bCs/>
          <w:sz w:val="48"/>
          <w:szCs w:val="48"/>
          <w:rtl/>
        </w:rPr>
      </w:pPr>
    </w:p>
    <w:p w:rsidR="00A54A30" w:rsidRPr="00E245F9" w:rsidRDefault="00A54A30" w:rsidP="00E245F9">
      <w:pPr>
        <w:bidi/>
        <w:spacing w:line="360" w:lineRule="auto"/>
        <w:jc w:val="center"/>
        <w:rPr>
          <w:rFonts w:ascii="David" w:hAnsi="David" w:cs="David"/>
          <w:b/>
          <w:bCs/>
          <w:sz w:val="48"/>
          <w:szCs w:val="48"/>
          <w:rtl/>
        </w:rPr>
      </w:pPr>
    </w:p>
    <w:p w:rsidR="00715AF2" w:rsidRDefault="00715AF2" w:rsidP="00E245F9">
      <w:pPr>
        <w:bidi/>
        <w:spacing w:line="360" w:lineRule="auto"/>
        <w:rPr>
          <w:rFonts w:ascii="David" w:hAnsi="David" w:cs="David"/>
          <w:sz w:val="48"/>
          <w:szCs w:val="48"/>
          <w:u w:val="single"/>
          <w:rtl/>
        </w:rPr>
      </w:pPr>
    </w:p>
    <w:p w:rsidR="00EF3D7E" w:rsidRDefault="00EF3D7E" w:rsidP="00132299">
      <w:pPr>
        <w:bidi/>
        <w:spacing w:line="360" w:lineRule="auto"/>
        <w:rPr>
          <w:rFonts w:ascii="David" w:hAnsi="David" w:cs="David"/>
          <w:sz w:val="48"/>
          <w:szCs w:val="48"/>
          <w:u w:val="single"/>
          <w:rtl/>
        </w:rPr>
      </w:pPr>
    </w:p>
    <w:p w:rsidR="00EB5434" w:rsidRDefault="00EB5434" w:rsidP="00EF3D7E">
      <w:pPr>
        <w:bidi/>
        <w:spacing w:line="360" w:lineRule="auto"/>
        <w:rPr>
          <w:rFonts w:ascii="David" w:hAnsi="David" w:cs="David" w:hint="cs"/>
          <w:sz w:val="48"/>
          <w:szCs w:val="48"/>
          <w:u w:val="single"/>
          <w:rtl/>
        </w:rPr>
      </w:pPr>
    </w:p>
    <w:p w:rsidR="0070054F" w:rsidRPr="00EB5434" w:rsidRDefault="0070054F" w:rsidP="00EB5434">
      <w:pPr>
        <w:bidi/>
        <w:spacing w:line="360" w:lineRule="auto"/>
        <w:rPr>
          <w:rFonts w:ascii="David" w:hAnsi="David" w:cs="David"/>
          <w:sz w:val="48"/>
          <w:szCs w:val="48"/>
          <w:u w:val="single"/>
          <w:rtl/>
        </w:rPr>
      </w:pPr>
      <w:r w:rsidRPr="00EB5434">
        <w:rPr>
          <w:rFonts w:ascii="David" w:hAnsi="David" w:cs="David"/>
          <w:sz w:val="48"/>
          <w:szCs w:val="48"/>
          <w:u w:val="single"/>
          <w:rtl/>
        </w:rPr>
        <w:t xml:space="preserve">נספח </w:t>
      </w:r>
      <w:r w:rsidR="00A54A30" w:rsidRPr="00EB5434">
        <w:rPr>
          <w:rFonts w:ascii="David" w:hAnsi="David" w:cs="David"/>
          <w:sz w:val="48"/>
          <w:szCs w:val="48"/>
          <w:u w:val="single"/>
          <w:rtl/>
        </w:rPr>
        <w:t>ד</w:t>
      </w:r>
      <w:r w:rsidRPr="00EB5434">
        <w:rPr>
          <w:rFonts w:ascii="David" w:hAnsi="David" w:cs="David"/>
          <w:sz w:val="48"/>
          <w:szCs w:val="48"/>
          <w:u w:val="single"/>
          <w:rtl/>
        </w:rPr>
        <w:t>'</w:t>
      </w:r>
    </w:p>
    <w:p w:rsidR="00EB5434" w:rsidRPr="00EB5434" w:rsidRDefault="00EB5434" w:rsidP="00EB5434">
      <w:pPr>
        <w:bidi/>
        <w:spacing w:line="360" w:lineRule="auto"/>
        <w:rPr>
          <w:rFonts w:ascii="David" w:hAnsi="David" w:cs="David" w:hint="cs"/>
          <w:sz w:val="48"/>
          <w:szCs w:val="48"/>
          <w:rtl/>
        </w:rPr>
      </w:pPr>
      <w:r w:rsidRPr="00EB5434">
        <w:rPr>
          <w:rFonts w:ascii="David" w:hAnsi="David" w:cs="David" w:hint="cs"/>
          <w:sz w:val="48"/>
          <w:szCs w:val="48"/>
          <w:rtl/>
        </w:rPr>
        <w:t>פניית העותרים מיום 11.2.2019</w:t>
      </w:r>
    </w:p>
    <w:p w:rsidR="007A3707" w:rsidRPr="00E245F9" w:rsidRDefault="007A3707" w:rsidP="00EB5434">
      <w:pPr>
        <w:bidi/>
        <w:spacing w:line="360" w:lineRule="auto"/>
        <w:jc w:val="center"/>
        <w:rPr>
          <w:rFonts w:ascii="David" w:hAnsi="David" w:cs="David"/>
          <w:b/>
          <w:bCs/>
          <w:sz w:val="48"/>
          <w:szCs w:val="48"/>
          <w:u w:val="single"/>
          <w:rtl/>
        </w:rPr>
      </w:pPr>
      <w:r w:rsidRPr="00E245F9">
        <w:rPr>
          <w:rFonts w:ascii="David" w:hAnsi="David" w:cs="David"/>
          <w:b/>
          <w:bCs/>
          <w:sz w:val="48"/>
          <w:szCs w:val="48"/>
          <w:u w:val="single"/>
          <w:rtl/>
        </w:rPr>
        <w:lastRenderedPageBreak/>
        <w:t xml:space="preserve">נספח </w:t>
      </w:r>
      <w:r w:rsidR="00715AF2">
        <w:rPr>
          <w:rFonts w:ascii="David" w:hAnsi="David" w:cs="David" w:hint="cs"/>
          <w:b/>
          <w:bCs/>
          <w:sz w:val="48"/>
          <w:szCs w:val="48"/>
          <w:u w:val="single"/>
          <w:rtl/>
        </w:rPr>
        <w:t>ה</w:t>
      </w:r>
      <w:r w:rsidRPr="00E245F9">
        <w:rPr>
          <w:rFonts w:ascii="David" w:hAnsi="David" w:cs="David"/>
          <w:b/>
          <w:bCs/>
          <w:sz w:val="48"/>
          <w:szCs w:val="48"/>
          <w:u w:val="single"/>
          <w:rtl/>
        </w:rPr>
        <w:t>'</w:t>
      </w:r>
    </w:p>
    <w:p w:rsidR="007A3707" w:rsidRPr="00E245F9" w:rsidRDefault="00EB5434" w:rsidP="00EB5434">
      <w:pPr>
        <w:bidi/>
        <w:spacing w:line="360" w:lineRule="auto"/>
        <w:jc w:val="center"/>
        <w:rPr>
          <w:rFonts w:ascii="David" w:hAnsi="David" w:cs="David"/>
          <w:b/>
          <w:bCs/>
          <w:sz w:val="48"/>
          <w:szCs w:val="48"/>
          <w:rtl/>
        </w:rPr>
      </w:pPr>
      <w:r w:rsidRPr="00EB5434">
        <w:rPr>
          <w:rFonts w:ascii="David" w:hAnsi="David" w:cs="David" w:hint="cs"/>
          <w:b/>
          <w:bCs/>
          <w:sz w:val="48"/>
          <w:szCs w:val="48"/>
          <w:rtl/>
        </w:rPr>
        <w:t>מכתב המשיב 2 מיום 21.3.2019</w:t>
      </w:r>
      <w:bookmarkStart w:id="0" w:name="_GoBack"/>
      <w:bookmarkEnd w:id="0"/>
    </w:p>
    <w:p w:rsidR="007A3707" w:rsidRPr="00E245F9" w:rsidRDefault="007A3707" w:rsidP="007A3707">
      <w:pPr>
        <w:bidi/>
        <w:spacing w:line="360" w:lineRule="auto"/>
        <w:jc w:val="center"/>
        <w:rPr>
          <w:rFonts w:ascii="David" w:hAnsi="David" w:cs="David"/>
          <w:b/>
          <w:bCs/>
          <w:sz w:val="48"/>
          <w:szCs w:val="48"/>
          <w:rtl/>
        </w:rPr>
      </w:pPr>
    </w:p>
    <w:p w:rsidR="007A3707" w:rsidRPr="00E245F9" w:rsidRDefault="007A3707" w:rsidP="007A3707">
      <w:pPr>
        <w:bidi/>
        <w:spacing w:line="360" w:lineRule="auto"/>
        <w:jc w:val="center"/>
        <w:rPr>
          <w:rFonts w:ascii="David" w:hAnsi="David" w:cs="David"/>
          <w:b/>
          <w:bCs/>
          <w:sz w:val="48"/>
          <w:szCs w:val="48"/>
          <w:rtl/>
        </w:rPr>
      </w:pPr>
    </w:p>
    <w:p w:rsidR="007A3707" w:rsidRPr="00E245F9" w:rsidRDefault="007A3707" w:rsidP="007A3707">
      <w:pPr>
        <w:bidi/>
        <w:spacing w:line="360" w:lineRule="auto"/>
        <w:jc w:val="center"/>
        <w:rPr>
          <w:rFonts w:ascii="David" w:hAnsi="David" w:cs="David"/>
          <w:b/>
          <w:bCs/>
          <w:sz w:val="48"/>
          <w:szCs w:val="48"/>
          <w:rtl/>
        </w:rPr>
      </w:pPr>
    </w:p>
    <w:p w:rsidR="007A3707" w:rsidRDefault="007A3707" w:rsidP="007A3707">
      <w:pPr>
        <w:bidi/>
        <w:spacing w:line="360" w:lineRule="auto"/>
        <w:jc w:val="center"/>
        <w:rPr>
          <w:rFonts w:ascii="David" w:hAnsi="David" w:cs="David"/>
          <w:b/>
          <w:bCs/>
          <w:sz w:val="48"/>
          <w:szCs w:val="48"/>
          <w:rtl/>
        </w:rPr>
      </w:pPr>
    </w:p>
    <w:p w:rsidR="007A3707" w:rsidRPr="00E245F9" w:rsidRDefault="007A3707" w:rsidP="007A3707">
      <w:pPr>
        <w:bidi/>
        <w:spacing w:line="360" w:lineRule="auto"/>
        <w:jc w:val="center"/>
        <w:rPr>
          <w:rFonts w:ascii="David" w:hAnsi="David" w:cs="David"/>
          <w:b/>
          <w:bCs/>
          <w:sz w:val="48"/>
          <w:szCs w:val="48"/>
          <w:rtl/>
        </w:rPr>
      </w:pPr>
    </w:p>
    <w:p w:rsidR="00EF3D7E" w:rsidRDefault="00EF3D7E" w:rsidP="00715AF2">
      <w:pPr>
        <w:bidi/>
        <w:spacing w:line="360" w:lineRule="auto"/>
        <w:rPr>
          <w:rFonts w:ascii="David" w:hAnsi="David" w:cs="David"/>
          <w:sz w:val="48"/>
          <w:szCs w:val="48"/>
          <w:rtl/>
        </w:rPr>
      </w:pPr>
    </w:p>
    <w:p w:rsidR="00EF3D7E" w:rsidRDefault="00EF3D7E" w:rsidP="00EF3D7E">
      <w:pPr>
        <w:bidi/>
        <w:spacing w:line="360" w:lineRule="auto"/>
        <w:rPr>
          <w:rFonts w:ascii="David" w:hAnsi="David" w:cs="David"/>
          <w:sz w:val="48"/>
          <w:szCs w:val="48"/>
          <w:rtl/>
        </w:rPr>
      </w:pPr>
    </w:p>
    <w:p w:rsidR="00EF3D7E" w:rsidRDefault="00EF3D7E" w:rsidP="00EF3D7E">
      <w:pPr>
        <w:bidi/>
        <w:spacing w:line="360" w:lineRule="auto"/>
        <w:rPr>
          <w:rFonts w:ascii="David" w:hAnsi="David" w:cs="David"/>
          <w:sz w:val="48"/>
          <w:szCs w:val="48"/>
          <w:rtl/>
        </w:rPr>
      </w:pPr>
    </w:p>
    <w:p w:rsidR="007A3707" w:rsidRPr="00EB5434" w:rsidRDefault="007A3707" w:rsidP="00EF3D7E">
      <w:pPr>
        <w:bidi/>
        <w:spacing w:line="360" w:lineRule="auto"/>
        <w:rPr>
          <w:rFonts w:ascii="David" w:hAnsi="David" w:cs="David"/>
          <w:sz w:val="48"/>
          <w:szCs w:val="48"/>
          <w:u w:val="single"/>
          <w:rtl/>
        </w:rPr>
      </w:pPr>
      <w:r w:rsidRPr="00EB5434">
        <w:rPr>
          <w:rFonts w:ascii="David" w:hAnsi="David" w:cs="David"/>
          <w:sz w:val="48"/>
          <w:szCs w:val="48"/>
          <w:u w:val="single"/>
          <w:rtl/>
        </w:rPr>
        <w:t xml:space="preserve">נספח </w:t>
      </w:r>
      <w:r w:rsidR="00715AF2" w:rsidRPr="00EB5434">
        <w:rPr>
          <w:rFonts w:ascii="David" w:hAnsi="David" w:cs="David" w:hint="cs"/>
          <w:sz w:val="48"/>
          <w:szCs w:val="48"/>
          <w:u w:val="single"/>
          <w:rtl/>
        </w:rPr>
        <w:t>ה</w:t>
      </w:r>
      <w:r w:rsidRPr="00EB5434">
        <w:rPr>
          <w:rFonts w:ascii="David" w:hAnsi="David" w:cs="David"/>
          <w:sz w:val="48"/>
          <w:szCs w:val="48"/>
          <w:u w:val="single"/>
          <w:rtl/>
        </w:rPr>
        <w:t>'</w:t>
      </w:r>
    </w:p>
    <w:p w:rsidR="00132299" w:rsidRPr="00EB5434" w:rsidRDefault="00EB5434" w:rsidP="00EB5434">
      <w:pPr>
        <w:bidi/>
        <w:spacing w:line="360" w:lineRule="auto"/>
        <w:rPr>
          <w:rFonts w:ascii="David" w:hAnsi="David" w:cs="David"/>
          <w:sz w:val="48"/>
          <w:szCs w:val="48"/>
          <w:rtl/>
        </w:rPr>
      </w:pPr>
      <w:r w:rsidRPr="00EB5434">
        <w:rPr>
          <w:rFonts w:ascii="David" w:hAnsi="David" w:cs="David" w:hint="cs"/>
          <w:sz w:val="48"/>
          <w:szCs w:val="48"/>
          <w:rtl/>
        </w:rPr>
        <w:t>מכתב המשיב 2 מיום 21.3.2019</w:t>
      </w:r>
    </w:p>
    <w:sectPr w:rsidR="00132299" w:rsidRPr="00EB5434" w:rsidSect="00F22743">
      <w:footerReference w:type="default" r:id="rId10"/>
      <w:footerReference w:type="first" r:id="rId11"/>
      <w:type w:val="continuous"/>
      <w:pgSz w:w="12240" w:h="15840"/>
      <w:pgMar w:top="1701" w:right="1440" w:bottom="2410" w:left="1440" w:header="720" w:footer="720" w:gutter="0"/>
      <w:cols w:space="720"/>
      <w:bidi/>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2FB" w:rsidRDefault="005D42FB">
      <w:pPr>
        <w:spacing w:after="0" w:line="240" w:lineRule="auto"/>
      </w:pPr>
      <w:r>
        <w:separator/>
      </w:r>
    </w:p>
  </w:endnote>
  <w:endnote w:type="continuationSeparator" w:id="0">
    <w:p w:rsidR="005D42FB" w:rsidRDefault="005D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A" w:rsidRDefault="005872FA">
    <w:pPr>
      <w:pStyle w:val="ac"/>
      <w:jc w:val="center"/>
    </w:pPr>
    <w:r>
      <w:fldChar w:fldCharType="begin"/>
    </w:r>
    <w:r>
      <w:instrText xml:space="preserve"> PAGE </w:instrText>
    </w:r>
    <w:r>
      <w:fldChar w:fldCharType="separate"/>
    </w:r>
    <w:r w:rsidR="00EB5434">
      <w:rPr>
        <w:noProof/>
      </w:rPr>
      <w:t>1</w:t>
    </w:r>
    <w:r>
      <w:fldChar w:fldCharType="end"/>
    </w:r>
  </w:p>
  <w:p w:rsidR="005872FA" w:rsidRDefault="005872F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A" w:rsidRDefault="005872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2FB" w:rsidRDefault="005D42FB">
      <w:pPr>
        <w:spacing w:after="0" w:line="240" w:lineRule="auto"/>
      </w:pPr>
      <w:r>
        <w:separator/>
      </w:r>
    </w:p>
  </w:footnote>
  <w:footnote w:type="continuationSeparator" w:id="0">
    <w:p w:rsidR="005D42FB" w:rsidRDefault="005D42FB">
      <w:pPr>
        <w:spacing w:after="0" w:line="240" w:lineRule="auto"/>
      </w:pPr>
      <w:r>
        <w:continuationSeparator/>
      </w:r>
    </w:p>
  </w:footnote>
  <w:footnote w:id="1">
    <w:p w:rsidR="00961BCF" w:rsidRPr="002C1574" w:rsidRDefault="00961BCF" w:rsidP="002C1574">
      <w:pPr>
        <w:pStyle w:val="af3"/>
        <w:bidi/>
        <w:ind w:left="713" w:hanging="713"/>
        <w:jc w:val="left"/>
        <w:rPr>
          <w:rFonts w:cs="Narkisim"/>
        </w:rPr>
      </w:pPr>
      <w:r w:rsidRPr="002C1574">
        <w:rPr>
          <w:rStyle w:val="af5"/>
          <w:rFonts w:cs="Narkisim"/>
        </w:rPr>
        <w:footnoteRef/>
      </w:r>
      <w:r w:rsidRPr="002C1574">
        <w:rPr>
          <w:rFonts w:cs="Narkisim"/>
        </w:rPr>
        <w:t xml:space="preserve"> </w:t>
      </w:r>
      <w:r w:rsidR="002C1574">
        <w:rPr>
          <w:rFonts w:cs="Narkisim" w:hint="cs"/>
          <w:rtl/>
        </w:rPr>
        <w:tab/>
      </w:r>
      <w:r w:rsidRPr="002C1574">
        <w:rPr>
          <w:rFonts w:cs="Narkisim" w:hint="cs"/>
          <w:rtl/>
        </w:rPr>
        <w:t>יצויין כי העותרים פנו בבקשה לעיין בתיק בית המשפט בעתירה 2683/98.</w:t>
      </w:r>
    </w:p>
  </w:footnote>
  <w:footnote w:id="2">
    <w:p w:rsidR="005872FA" w:rsidRPr="002C1574" w:rsidRDefault="005872FA" w:rsidP="002C1574">
      <w:pPr>
        <w:pStyle w:val="af3"/>
        <w:bidi/>
        <w:ind w:left="713" w:hanging="713"/>
        <w:jc w:val="left"/>
        <w:rPr>
          <w:rFonts w:cs="Narkisim"/>
          <w:rtl/>
        </w:rPr>
      </w:pPr>
      <w:r w:rsidRPr="002C1574">
        <w:rPr>
          <w:rStyle w:val="af5"/>
          <w:rFonts w:cs="Narkisim"/>
        </w:rPr>
        <w:footnoteRef/>
      </w:r>
      <w:r w:rsidRPr="002C1574">
        <w:rPr>
          <w:rFonts w:cs="Narkisim"/>
        </w:rPr>
        <w:t xml:space="preserve"> </w:t>
      </w:r>
      <w:r w:rsidRPr="002C1574">
        <w:rPr>
          <w:rFonts w:cs="Narkisim" w:hint="cs"/>
          <w:rtl/>
        </w:rPr>
        <w:tab/>
      </w:r>
      <w:r w:rsidRPr="002C1574">
        <w:rPr>
          <w:rFonts w:cs="Narkisim" w:hint="cs"/>
          <w:color w:val="000000"/>
          <w:rtl/>
        </w:rPr>
        <w:t>תא (</w:t>
      </w:r>
      <w:proofErr w:type="spellStart"/>
      <w:r w:rsidRPr="002C1574">
        <w:rPr>
          <w:rFonts w:cs="Narkisim" w:hint="cs"/>
          <w:color w:val="000000"/>
          <w:rtl/>
        </w:rPr>
        <w:t>הרצ</w:t>
      </w:r>
      <w:proofErr w:type="spellEnd"/>
      <w:r w:rsidRPr="002C1574">
        <w:rPr>
          <w:rFonts w:cs="Narkisim" w:hint="cs"/>
          <w:color w:val="000000"/>
          <w:rtl/>
        </w:rPr>
        <w:t>') 58212-02-13</w:t>
      </w:r>
      <w:r w:rsidRPr="002C1574">
        <w:rPr>
          <w:rFonts w:cs="Narkisim" w:hint="cs"/>
          <w:color w:val="000000"/>
        </w:rPr>
        <w:t>  </w:t>
      </w:r>
      <w:r w:rsidRPr="002C1574">
        <w:rPr>
          <w:rFonts w:cs="Narkisim" w:hint="cs"/>
          <w:color w:val="000000"/>
          <w:rtl/>
        </w:rPr>
        <w:t>רשות מקרקעי ישראל נ' שמואל דניאל</w:t>
      </w:r>
      <w:r w:rsidRPr="002C1574">
        <w:rPr>
          <w:rFonts w:cs="Narkisim" w:hint="cs"/>
          <w:rtl/>
        </w:rPr>
        <w:t>.</w:t>
      </w:r>
    </w:p>
  </w:footnote>
  <w:footnote w:id="3">
    <w:p w:rsidR="005872FA" w:rsidRPr="002C1574" w:rsidRDefault="005872FA" w:rsidP="002C1574">
      <w:pPr>
        <w:pStyle w:val="af3"/>
        <w:bidi/>
        <w:ind w:left="713" w:hanging="713"/>
        <w:jc w:val="left"/>
        <w:rPr>
          <w:rFonts w:ascii="Narkisim" w:hAnsi="Narkisim" w:cs="Narkisim"/>
          <w:rtl/>
        </w:rPr>
      </w:pPr>
      <w:r w:rsidRPr="002C1574">
        <w:rPr>
          <w:rStyle w:val="af5"/>
          <w:rFonts w:cs="Narkisim"/>
        </w:rPr>
        <w:footnoteRef/>
      </w:r>
      <w:r w:rsidRPr="002C1574">
        <w:rPr>
          <w:rFonts w:cs="Narkisim"/>
        </w:rPr>
        <w:t xml:space="preserve"> </w:t>
      </w:r>
      <w:r w:rsidRPr="002C1574">
        <w:rPr>
          <w:rFonts w:cs="Narkisim" w:hint="cs"/>
          <w:rtl/>
        </w:rPr>
        <w:tab/>
      </w:r>
      <w:hyperlink r:id="rId1" w:history="1">
        <w:r w:rsidRPr="002C1574">
          <w:rPr>
            <w:rFonts w:ascii="Narkisim" w:hAnsi="Narkisim" w:cs="Narkisim" w:hint="cs"/>
            <w:rtl/>
          </w:rPr>
          <w:t xml:space="preserve">ע"פ 250/84 – </w:t>
        </w:r>
        <w:proofErr w:type="spellStart"/>
        <w:r w:rsidRPr="002C1574">
          <w:rPr>
            <w:rFonts w:ascii="Narkisim" w:hAnsi="Narkisim" w:cs="Narkisim" w:hint="cs"/>
            <w:rtl/>
          </w:rPr>
          <w:t>הוכשטט</w:t>
        </w:r>
        <w:proofErr w:type="spellEnd"/>
        <w:r w:rsidRPr="002C1574">
          <w:rPr>
            <w:rFonts w:ascii="Narkisim" w:hAnsi="Narkisim" w:cs="Narkisim" w:hint="cs"/>
            <w:rtl/>
          </w:rPr>
          <w:t xml:space="preserve"> נ' מדינת ישראל, פ"ד מ</w:t>
        </w:r>
      </w:hyperlink>
      <w:r w:rsidRPr="002C1574">
        <w:rPr>
          <w:rFonts w:ascii="Narkisim" w:hAnsi="Narkisim" w:cs="Narkisim" w:hint="cs"/>
          <w:rtl/>
        </w:rPr>
        <w:t>(1) 813, 820</w:t>
      </w:r>
    </w:p>
  </w:footnote>
  <w:footnote w:id="4">
    <w:p w:rsidR="005872FA" w:rsidRPr="002C1574" w:rsidRDefault="005872FA" w:rsidP="002C1574">
      <w:pPr>
        <w:pStyle w:val="af3"/>
        <w:bidi/>
        <w:ind w:left="713" w:hanging="713"/>
        <w:jc w:val="left"/>
        <w:rPr>
          <w:rFonts w:ascii="Narkisim" w:hAnsi="Narkisim" w:cs="Narkisim"/>
        </w:rPr>
      </w:pPr>
      <w:r w:rsidRPr="002C1574">
        <w:rPr>
          <w:rStyle w:val="af5"/>
          <w:rFonts w:ascii="Narkisim" w:hAnsi="Narkisim" w:cs="Narkisim"/>
        </w:rPr>
        <w:footnoteRef/>
      </w:r>
      <w:r w:rsidRPr="002C1574">
        <w:rPr>
          <w:rFonts w:ascii="Narkisim" w:hAnsi="Narkisim" w:cs="Narkisim"/>
          <w:rtl/>
        </w:rPr>
        <w:t xml:space="preserve"> </w:t>
      </w:r>
      <w:r w:rsidRPr="002C1574">
        <w:rPr>
          <w:rFonts w:ascii="Narkisim" w:hAnsi="Narkisim" w:cs="Narkisim" w:hint="cs"/>
          <w:rtl/>
        </w:rPr>
        <w:tab/>
      </w:r>
      <w:r w:rsidRPr="002C1574">
        <w:rPr>
          <w:rFonts w:ascii="Narkisim" w:hAnsi="Narkisim" w:cs="Narkisim"/>
          <w:rtl/>
        </w:rPr>
        <w:t>בג"ץ 3713/06 טל השקעות ובנין בע"מ נ' מפקד פיקוד מרכז, פסקה 24 לפסה"ד</w:t>
      </w:r>
    </w:p>
  </w:footnote>
  <w:footnote w:id="5">
    <w:p w:rsidR="005872FA" w:rsidRPr="002C1574" w:rsidRDefault="005872FA" w:rsidP="002C1574">
      <w:pPr>
        <w:pStyle w:val="af3"/>
        <w:bidi/>
        <w:ind w:left="713" w:hanging="713"/>
        <w:jc w:val="left"/>
        <w:rPr>
          <w:rStyle w:val="af5"/>
          <w:rFonts w:ascii="Narkisim" w:hAnsi="Narkisim" w:cs="Narkisim"/>
          <w:rtl/>
        </w:rPr>
      </w:pPr>
      <w:r w:rsidRPr="002C1574">
        <w:rPr>
          <w:rStyle w:val="af5"/>
          <w:rFonts w:ascii="Narkisim" w:hAnsi="Narkisim" w:cs="Narkisim"/>
        </w:rPr>
        <w:footnoteRef/>
      </w:r>
      <w:r w:rsidRPr="002C1574">
        <w:rPr>
          <w:rStyle w:val="af5"/>
          <w:rFonts w:ascii="Narkisim" w:hAnsi="Narkisim" w:cs="Narkisim"/>
        </w:rPr>
        <w:t xml:space="preserve"> </w:t>
      </w:r>
      <w:r w:rsidRPr="002C1574">
        <w:rPr>
          <w:rFonts w:ascii="Narkisim" w:hAnsi="Narkisim" w:cs="Narkisim" w:hint="cs"/>
          <w:rtl/>
        </w:rPr>
        <w:tab/>
        <w:t xml:space="preserve">יצחק זמיר, הסמכות </w:t>
      </w:r>
      <w:proofErr w:type="spellStart"/>
      <w:r w:rsidRPr="002C1574">
        <w:rPr>
          <w:rFonts w:ascii="Narkisim" w:hAnsi="Narkisim" w:cs="Narkisim" w:hint="cs"/>
          <w:rtl/>
        </w:rPr>
        <w:t>המינהלית</w:t>
      </w:r>
      <w:proofErr w:type="spellEnd"/>
      <w:r w:rsidRPr="002C1574">
        <w:rPr>
          <w:rFonts w:ascii="Narkisim" w:hAnsi="Narkisim" w:cs="Narkisim" w:hint="cs"/>
          <w:rtl/>
        </w:rPr>
        <w:t xml:space="preserve"> (</w:t>
      </w:r>
      <w:proofErr w:type="spellStart"/>
      <w:r w:rsidRPr="002C1574">
        <w:rPr>
          <w:rFonts w:ascii="Narkisim" w:hAnsi="Narkisim" w:cs="Narkisim" w:hint="cs"/>
          <w:rtl/>
        </w:rPr>
        <w:t>להלן:"זמיר</w:t>
      </w:r>
      <w:proofErr w:type="spellEnd"/>
      <w:r w:rsidRPr="002C1574">
        <w:rPr>
          <w:rFonts w:ascii="Narkisim" w:hAnsi="Narkisim" w:cs="Narkisim" w:hint="cs"/>
          <w:rtl/>
        </w:rPr>
        <w:t>").</w:t>
      </w:r>
    </w:p>
  </w:footnote>
  <w:footnote w:id="6">
    <w:p w:rsidR="005872FA" w:rsidRPr="002C1574" w:rsidRDefault="005872FA" w:rsidP="002C1574">
      <w:pPr>
        <w:pStyle w:val="af3"/>
        <w:tabs>
          <w:tab w:val="left" w:pos="657"/>
        </w:tabs>
        <w:bidi/>
        <w:ind w:left="713" w:hanging="713"/>
        <w:jc w:val="left"/>
        <w:rPr>
          <w:rFonts w:ascii="Narkisim" w:hAnsi="Narkisim" w:cs="Narkisim"/>
        </w:rPr>
      </w:pPr>
      <w:r w:rsidRPr="002C1574">
        <w:rPr>
          <w:rStyle w:val="af5"/>
          <w:rFonts w:ascii="Narkisim" w:hAnsi="Narkisim" w:cs="Narkisim"/>
        </w:rPr>
        <w:footnoteRef/>
      </w:r>
      <w:r w:rsidRPr="002C1574">
        <w:rPr>
          <w:rFonts w:ascii="Narkisim" w:hAnsi="Narkisim" w:cs="Narkisim"/>
          <w:rtl/>
        </w:rPr>
        <w:t xml:space="preserve"> </w:t>
      </w:r>
      <w:r w:rsidR="00FA31BD" w:rsidRPr="002C1574">
        <w:rPr>
          <w:rFonts w:ascii="Narkisim" w:hAnsi="Narkisim" w:cs="Narkisim" w:hint="cs"/>
          <w:rtl/>
        </w:rPr>
        <w:tab/>
      </w:r>
      <w:r w:rsidRPr="002C1574">
        <w:rPr>
          <w:rFonts w:ascii="Narkisim" w:hAnsi="Narkisim" w:cs="Narkisim"/>
          <w:rtl/>
        </w:rPr>
        <w:t xml:space="preserve">בג"ץ 1315/12 </w:t>
      </w:r>
      <w:proofErr w:type="spellStart"/>
      <w:r w:rsidRPr="002C1574">
        <w:rPr>
          <w:rFonts w:ascii="Narkisim" w:hAnsi="Narkisim" w:cs="Narkisim"/>
          <w:rtl/>
        </w:rPr>
        <w:t>ג'מיל</w:t>
      </w:r>
      <w:proofErr w:type="spellEnd"/>
      <w:r w:rsidRPr="002C1574">
        <w:rPr>
          <w:rFonts w:ascii="Narkisim" w:hAnsi="Narkisim" w:cs="Narkisim"/>
          <w:rtl/>
        </w:rPr>
        <w:t xml:space="preserve"> </w:t>
      </w:r>
      <w:proofErr w:type="spellStart"/>
      <w:r w:rsidRPr="002C1574">
        <w:rPr>
          <w:rFonts w:ascii="Narkisim" w:hAnsi="Narkisim" w:cs="Narkisim"/>
          <w:rtl/>
        </w:rPr>
        <w:t>ח'ליל</w:t>
      </w:r>
      <w:proofErr w:type="spellEnd"/>
      <w:r w:rsidRPr="002C1574">
        <w:rPr>
          <w:rFonts w:ascii="Narkisim" w:hAnsi="Narkisim" w:cs="Narkisim"/>
          <w:rtl/>
        </w:rPr>
        <w:t xml:space="preserve"> מוסא חושיה ואח' נגד שר </w:t>
      </w:r>
      <w:proofErr w:type="spellStart"/>
      <w:r w:rsidRPr="002C1574">
        <w:rPr>
          <w:rFonts w:ascii="Narkisim" w:hAnsi="Narkisim" w:cs="Narkisim"/>
          <w:rtl/>
        </w:rPr>
        <w:t>הבטחון</w:t>
      </w:r>
      <w:proofErr w:type="spellEnd"/>
      <w:r w:rsidRPr="002C1574">
        <w:rPr>
          <w:rFonts w:ascii="Narkisim" w:hAnsi="Narkisim" w:cs="Narkisim"/>
          <w:rtl/>
        </w:rPr>
        <w:t xml:space="preserve"> ואח' (להלן: "עניין חושיה").</w:t>
      </w:r>
    </w:p>
  </w:footnote>
  <w:footnote w:id="7">
    <w:p w:rsidR="005872FA" w:rsidRPr="002C1574" w:rsidRDefault="005872FA" w:rsidP="002C1574">
      <w:pPr>
        <w:pStyle w:val="af3"/>
        <w:tabs>
          <w:tab w:val="left" w:pos="657"/>
        </w:tabs>
        <w:bidi/>
        <w:ind w:left="713" w:hanging="713"/>
        <w:jc w:val="left"/>
        <w:rPr>
          <w:rFonts w:ascii="Narkisim" w:hAnsi="Narkisim" w:cs="Narkisim"/>
          <w:rtl/>
        </w:rPr>
      </w:pPr>
      <w:r w:rsidRPr="002C1574">
        <w:rPr>
          <w:rStyle w:val="af5"/>
          <w:rFonts w:ascii="Narkisim" w:hAnsi="Narkisim" w:cs="Narkisim"/>
        </w:rPr>
        <w:footnoteRef/>
      </w:r>
      <w:r w:rsidRPr="002C1574">
        <w:rPr>
          <w:rFonts w:ascii="Narkisim" w:hAnsi="Narkisim" w:cs="Narkisim"/>
          <w:rtl/>
        </w:rPr>
        <w:t xml:space="preserve"> </w:t>
      </w:r>
      <w:r w:rsidR="00FA31BD" w:rsidRPr="002C1574">
        <w:rPr>
          <w:rFonts w:ascii="Narkisim" w:hAnsi="Narkisim" w:cs="Narkisim" w:hint="cs"/>
          <w:rtl/>
        </w:rPr>
        <w:tab/>
      </w:r>
      <w:r w:rsidRPr="002C1574">
        <w:rPr>
          <w:rFonts w:ascii="Narkisim" w:hAnsi="Narkisim" w:cs="Narkisim"/>
          <w:rtl/>
        </w:rPr>
        <w:t>פסקה 4 לפסה"ד בעניין חושיה</w:t>
      </w:r>
    </w:p>
  </w:footnote>
  <w:footnote w:id="8">
    <w:p w:rsidR="005872FA" w:rsidRPr="002C1574" w:rsidRDefault="005872FA" w:rsidP="002C1574">
      <w:pPr>
        <w:pStyle w:val="af3"/>
        <w:tabs>
          <w:tab w:val="left" w:pos="657"/>
        </w:tabs>
        <w:bidi/>
        <w:ind w:left="713" w:hanging="713"/>
        <w:jc w:val="left"/>
        <w:rPr>
          <w:rFonts w:ascii="Narkisim" w:hAnsi="Narkisim" w:cs="Narkisim"/>
        </w:rPr>
      </w:pPr>
      <w:r w:rsidRPr="002C1574">
        <w:rPr>
          <w:rStyle w:val="af5"/>
          <w:rFonts w:ascii="Narkisim" w:hAnsi="Narkisim" w:cs="Narkisim"/>
        </w:rPr>
        <w:footnoteRef/>
      </w:r>
      <w:r w:rsidRPr="002C1574">
        <w:rPr>
          <w:rFonts w:ascii="Narkisim" w:hAnsi="Narkisim" w:cs="Narkisim"/>
          <w:rtl/>
        </w:rPr>
        <w:t xml:space="preserve"> </w:t>
      </w:r>
      <w:r w:rsidR="00FA31BD" w:rsidRPr="002C1574">
        <w:rPr>
          <w:rFonts w:ascii="Narkisim" w:hAnsi="Narkisim" w:cs="Narkisim" w:hint="cs"/>
          <w:rtl/>
        </w:rPr>
        <w:tab/>
      </w:r>
      <w:r w:rsidRPr="002C1574">
        <w:rPr>
          <w:rFonts w:ascii="Narkisim" w:hAnsi="Narkisim" w:cs="Narkisim"/>
          <w:rtl/>
        </w:rPr>
        <w:t>פסקה 11 לפסה"ד בעניין חושיה</w:t>
      </w:r>
    </w:p>
  </w:footnote>
  <w:footnote w:id="9">
    <w:p w:rsidR="005872FA" w:rsidRPr="002C1574" w:rsidRDefault="005872FA" w:rsidP="002C1574">
      <w:pPr>
        <w:pStyle w:val="af3"/>
        <w:tabs>
          <w:tab w:val="left" w:pos="657"/>
        </w:tabs>
        <w:bidi/>
        <w:ind w:left="713" w:hanging="713"/>
        <w:jc w:val="left"/>
        <w:rPr>
          <w:rFonts w:ascii="Narkisim" w:hAnsi="Narkisim" w:cs="Narkisim"/>
        </w:rPr>
      </w:pPr>
      <w:r w:rsidRPr="002C1574">
        <w:rPr>
          <w:rStyle w:val="af5"/>
          <w:rFonts w:ascii="Narkisim" w:hAnsi="Narkisim" w:cs="Narkisim"/>
        </w:rPr>
        <w:footnoteRef/>
      </w:r>
      <w:r w:rsidRPr="002C1574">
        <w:rPr>
          <w:rFonts w:ascii="Narkisim" w:hAnsi="Narkisim" w:cs="Narkisim"/>
          <w:rtl/>
        </w:rPr>
        <w:t xml:space="preserve"> </w:t>
      </w:r>
      <w:r w:rsidR="00FA31BD" w:rsidRPr="002C1574">
        <w:rPr>
          <w:rFonts w:ascii="Narkisim" w:hAnsi="Narkisim" w:cs="Narkisim" w:hint="cs"/>
          <w:rtl/>
        </w:rPr>
        <w:tab/>
      </w:r>
      <w:r w:rsidRPr="002C1574">
        <w:rPr>
          <w:rFonts w:ascii="Narkisim" w:hAnsi="Narkisim" w:cs="Narkisim"/>
          <w:rtl/>
        </w:rPr>
        <w:t>פסקה 12 לפסה"ד בעניין חושיה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000005"/>
    <w:multiLevelType w:val="multilevel"/>
    <w:tmpl w:val="00000005"/>
    <w:lvl w:ilvl="0">
      <w:start w:val="1"/>
      <w:numFmt w:val="decimal"/>
      <w:lvlText w:val="%1."/>
      <w:lvlJc w:val="left"/>
      <w:pPr>
        <w:tabs>
          <w:tab w:val="num" w:pos="720"/>
        </w:tabs>
        <w:ind w:left="720" w:hanging="360"/>
      </w:pPr>
      <w:rPr>
        <w:rFonts w:cs="Times New Roman"/>
        <w:sz w:val="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7A03007"/>
    <w:multiLevelType w:val="hybridMultilevel"/>
    <w:tmpl w:val="0F080184"/>
    <w:lvl w:ilvl="0" w:tplc="7884C5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3E5D67"/>
    <w:multiLevelType w:val="hybridMultilevel"/>
    <w:tmpl w:val="A10A98EE"/>
    <w:lvl w:ilvl="0" w:tplc="F4609A0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A64F93"/>
    <w:multiLevelType w:val="hybridMultilevel"/>
    <w:tmpl w:val="F348D064"/>
    <w:lvl w:ilvl="0" w:tplc="0B5E9170">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560C36"/>
    <w:multiLevelType w:val="hybridMultilevel"/>
    <w:tmpl w:val="2FBC8852"/>
    <w:lvl w:ilvl="0" w:tplc="00C85B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77A1B"/>
    <w:multiLevelType w:val="hybridMultilevel"/>
    <w:tmpl w:val="41C6DC96"/>
    <w:lvl w:ilvl="0" w:tplc="054C84AE">
      <w:start w:val="1"/>
      <w:numFmt w:val="decimal"/>
      <w:lvlText w:val="%1."/>
      <w:lvlJc w:val="left"/>
      <w:pPr>
        <w:tabs>
          <w:tab w:val="num" w:pos="388"/>
        </w:tabs>
        <w:ind w:left="388" w:hanging="360"/>
      </w:pPr>
      <w:rPr>
        <w:lang w:val="en-US"/>
      </w:rPr>
    </w:lvl>
    <w:lvl w:ilvl="1" w:tplc="04090019">
      <w:start w:val="1"/>
      <w:numFmt w:val="lowerLetter"/>
      <w:lvlText w:val="%2."/>
      <w:lvlJc w:val="left"/>
      <w:pPr>
        <w:tabs>
          <w:tab w:val="num" w:pos="1108"/>
        </w:tabs>
        <w:ind w:left="1108" w:hanging="360"/>
      </w:pPr>
    </w:lvl>
    <w:lvl w:ilvl="2" w:tplc="0409001B">
      <w:start w:val="1"/>
      <w:numFmt w:val="lowerRoman"/>
      <w:lvlText w:val="%3."/>
      <w:lvlJc w:val="right"/>
      <w:pPr>
        <w:tabs>
          <w:tab w:val="num" w:pos="1828"/>
        </w:tabs>
        <w:ind w:left="1828" w:hanging="180"/>
      </w:pPr>
    </w:lvl>
    <w:lvl w:ilvl="3" w:tplc="0409000F">
      <w:start w:val="1"/>
      <w:numFmt w:val="decimal"/>
      <w:lvlText w:val="%4."/>
      <w:lvlJc w:val="left"/>
      <w:pPr>
        <w:tabs>
          <w:tab w:val="num" w:pos="2548"/>
        </w:tabs>
        <w:ind w:left="2548" w:hanging="360"/>
      </w:pPr>
    </w:lvl>
    <w:lvl w:ilvl="4" w:tplc="04090019">
      <w:start w:val="1"/>
      <w:numFmt w:val="lowerLetter"/>
      <w:lvlText w:val="%5."/>
      <w:lvlJc w:val="left"/>
      <w:pPr>
        <w:tabs>
          <w:tab w:val="num" w:pos="3268"/>
        </w:tabs>
        <w:ind w:left="3268" w:hanging="360"/>
      </w:pPr>
    </w:lvl>
    <w:lvl w:ilvl="5" w:tplc="0409001B">
      <w:start w:val="1"/>
      <w:numFmt w:val="lowerRoman"/>
      <w:lvlText w:val="%6."/>
      <w:lvlJc w:val="right"/>
      <w:pPr>
        <w:tabs>
          <w:tab w:val="num" w:pos="3988"/>
        </w:tabs>
        <w:ind w:left="3988" w:hanging="180"/>
      </w:pPr>
    </w:lvl>
    <w:lvl w:ilvl="6" w:tplc="0409000F">
      <w:start w:val="1"/>
      <w:numFmt w:val="decimal"/>
      <w:lvlText w:val="%7."/>
      <w:lvlJc w:val="left"/>
      <w:pPr>
        <w:tabs>
          <w:tab w:val="num" w:pos="4708"/>
        </w:tabs>
        <w:ind w:left="4708" w:hanging="360"/>
      </w:pPr>
    </w:lvl>
    <w:lvl w:ilvl="7" w:tplc="04090019">
      <w:start w:val="1"/>
      <w:numFmt w:val="lowerLetter"/>
      <w:lvlText w:val="%8."/>
      <w:lvlJc w:val="left"/>
      <w:pPr>
        <w:tabs>
          <w:tab w:val="num" w:pos="5428"/>
        </w:tabs>
        <w:ind w:left="5428" w:hanging="360"/>
      </w:pPr>
    </w:lvl>
    <w:lvl w:ilvl="8" w:tplc="0409001B">
      <w:start w:val="1"/>
      <w:numFmt w:val="lowerRoman"/>
      <w:lvlText w:val="%9."/>
      <w:lvlJc w:val="right"/>
      <w:pPr>
        <w:tabs>
          <w:tab w:val="num" w:pos="6148"/>
        </w:tabs>
        <w:ind w:left="6148" w:hanging="180"/>
      </w:pPr>
    </w:lvl>
  </w:abstractNum>
  <w:abstractNum w:abstractNumId="7">
    <w:nsid w:val="2ED3019A"/>
    <w:multiLevelType w:val="hybridMultilevel"/>
    <w:tmpl w:val="07F22138"/>
    <w:lvl w:ilvl="0" w:tplc="0F58F350">
      <w:start w:val="1"/>
      <w:numFmt w:val="hebrew1"/>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667F95"/>
    <w:multiLevelType w:val="hybridMultilevel"/>
    <w:tmpl w:val="098ECC2C"/>
    <w:lvl w:ilvl="0" w:tplc="6FE6302C">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7264A1"/>
    <w:multiLevelType w:val="hybridMultilevel"/>
    <w:tmpl w:val="AC061500"/>
    <w:lvl w:ilvl="0" w:tplc="64F20316">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0035E8"/>
    <w:multiLevelType w:val="hybridMultilevel"/>
    <w:tmpl w:val="18DC3206"/>
    <w:lvl w:ilvl="0" w:tplc="1EE20862">
      <w:start w:val="4"/>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6A3850"/>
    <w:multiLevelType w:val="hybridMultilevel"/>
    <w:tmpl w:val="D920287C"/>
    <w:lvl w:ilvl="0" w:tplc="7E309EF8">
      <w:start w:val="1"/>
      <w:numFmt w:val="decimal"/>
      <w:lvlText w:val="%1."/>
      <w:lvlJc w:val="left"/>
      <w:pPr>
        <w:ind w:left="1640" w:hanging="360"/>
      </w:pPr>
      <w:rPr>
        <w:rFonts w:ascii="David" w:hAnsi="David" w:cs="David"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2">
    <w:nsid w:val="424175E6"/>
    <w:multiLevelType w:val="hybridMultilevel"/>
    <w:tmpl w:val="9EE096F4"/>
    <w:lvl w:ilvl="0" w:tplc="C1905A9C">
      <w:start w:val="6"/>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9601D"/>
    <w:multiLevelType w:val="hybridMultilevel"/>
    <w:tmpl w:val="AC70DC28"/>
    <w:lvl w:ilvl="0" w:tplc="86B432CE">
      <w:start w:val="1"/>
      <w:numFmt w:val="hebrew1"/>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57A06F6B"/>
    <w:multiLevelType w:val="hybridMultilevel"/>
    <w:tmpl w:val="D3526DCA"/>
    <w:lvl w:ilvl="0" w:tplc="574C875C">
      <w:start w:val="4"/>
      <w:numFmt w:val="bullet"/>
      <w:lvlText w:val=""/>
      <w:lvlJc w:val="left"/>
      <w:pPr>
        <w:ind w:left="1080" w:hanging="360"/>
      </w:pPr>
      <w:rPr>
        <w:rFonts w:ascii="Symbol" w:eastAsia="Times New Roman" w:hAnsi="Symbol" w:cs="David" w:hint="default"/>
        <w:b/>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2122889"/>
    <w:multiLevelType w:val="hybridMultilevel"/>
    <w:tmpl w:val="01AEB2E4"/>
    <w:lvl w:ilvl="0" w:tplc="5E7E6F98">
      <w:start w:val="1"/>
      <w:numFmt w:val="decimal"/>
      <w:lvlText w:val="%1."/>
      <w:lvlJc w:val="left"/>
      <w:pPr>
        <w:tabs>
          <w:tab w:val="num" w:pos="502"/>
        </w:tabs>
        <w:ind w:left="502" w:hanging="360"/>
      </w:pPr>
      <w:rPr>
        <w:lang w:val="en-US"/>
      </w:rPr>
    </w:lvl>
    <w:lvl w:ilvl="1" w:tplc="1CA420D2">
      <w:start w:val="1"/>
      <w:numFmt w:val="hebrew1"/>
      <w:lvlText w:val="%2."/>
      <w:lvlJc w:val="left"/>
      <w:pPr>
        <w:tabs>
          <w:tab w:val="num" w:pos="1800"/>
        </w:tabs>
        <w:ind w:left="1800" w:hanging="720"/>
      </w:pPr>
      <w:rPr>
        <w:lang w:val="en-US"/>
      </w:rPr>
    </w:lvl>
    <w:lvl w:ilvl="2" w:tplc="CCEC2E2E">
      <w:start w:val="1"/>
      <w:numFmt w:val="decimal"/>
      <w:lvlText w:val="%3."/>
      <w:lvlJc w:val="left"/>
      <w:pPr>
        <w:ind w:left="2340" w:hanging="360"/>
      </w:pPr>
    </w:lvl>
    <w:lvl w:ilvl="3" w:tplc="0409000F">
      <w:start w:val="1"/>
      <w:numFmt w:val="decimal"/>
      <w:lvlText w:val="%4."/>
      <w:lvlJc w:val="left"/>
      <w:pPr>
        <w:tabs>
          <w:tab w:val="num" w:pos="2880"/>
        </w:tabs>
        <w:ind w:left="2880" w:hanging="360"/>
      </w:pPr>
    </w:lvl>
    <w:lvl w:ilvl="4" w:tplc="8ADCB3F0">
      <w:start w:val="1"/>
      <w:numFmt w:val="decimal"/>
      <w:lvlText w:val="%5)"/>
      <w:lvlJc w:val="left"/>
      <w:pPr>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9EE136B"/>
    <w:multiLevelType w:val="hybridMultilevel"/>
    <w:tmpl w:val="25E8BD82"/>
    <w:lvl w:ilvl="0" w:tplc="D0CE12B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7A7A55"/>
    <w:multiLevelType w:val="hybridMultilevel"/>
    <w:tmpl w:val="25D4BBE2"/>
    <w:lvl w:ilvl="0" w:tplc="F9AA88CA">
      <w:start w:val="9"/>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0900CCD"/>
    <w:multiLevelType w:val="hybridMultilevel"/>
    <w:tmpl w:val="5172157C"/>
    <w:lvl w:ilvl="0" w:tplc="1A38429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10"/>
  </w:num>
  <w:num w:numId="5">
    <w:abstractNumId w:val="9"/>
  </w:num>
  <w:num w:numId="6">
    <w:abstractNumId w:val="18"/>
  </w:num>
  <w:num w:numId="7">
    <w:abstractNumId w:val="8"/>
  </w:num>
  <w:num w:numId="8">
    <w:abstractNumId w:val="11"/>
  </w:num>
  <w:num w:numId="9">
    <w:abstractNumId w:val="14"/>
  </w:num>
  <w:num w:numId="10">
    <w:abstractNumId w:val="6"/>
  </w:num>
  <w:num w:numId="11">
    <w:abstractNumId w:val="16"/>
  </w:num>
  <w:num w:numId="12">
    <w:abstractNumId w:val="13"/>
  </w:num>
  <w:num w:numId="13">
    <w:abstractNumId w:val="12"/>
  </w:num>
  <w:num w:numId="14">
    <w:abstractNumId w:val="2"/>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7"/>
  </w:num>
  <w:num w:numId="19">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CF"/>
    <w:rsid w:val="0000063F"/>
    <w:rsid w:val="00001FD0"/>
    <w:rsid w:val="000167D2"/>
    <w:rsid w:val="00023FC7"/>
    <w:rsid w:val="0003026E"/>
    <w:rsid w:val="00032B3B"/>
    <w:rsid w:val="00035D76"/>
    <w:rsid w:val="0004219C"/>
    <w:rsid w:val="000447F5"/>
    <w:rsid w:val="00063FF5"/>
    <w:rsid w:val="00070580"/>
    <w:rsid w:val="000728F4"/>
    <w:rsid w:val="000847BA"/>
    <w:rsid w:val="000926BF"/>
    <w:rsid w:val="00092F8C"/>
    <w:rsid w:val="000967D2"/>
    <w:rsid w:val="000B2250"/>
    <w:rsid w:val="000B359B"/>
    <w:rsid w:val="000B65FA"/>
    <w:rsid w:val="000E118E"/>
    <w:rsid w:val="000F34DC"/>
    <w:rsid w:val="000F3D0C"/>
    <w:rsid w:val="000F3F92"/>
    <w:rsid w:val="00113AD6"/>
    <w:rsid w:val="00116167"/>
    <w:rsid w:val="00117AD6"/>
    <w:rsid w:val="00120BC7"/>
    <w:rsid w:val="00122716"/>
    <w:rsid w:val="001237C3"/>
    <w:rsid w:val="00127F5F"/>
    <w:rsid w:val="00132299"/>
    <w:rsid w:val="00134420"/>
    <w:rsid w:val="00144E5D"/>
    <w:rsid w:val="001546CF"/>
    <w:rsid w:val="00165F23"/>
    <w:rsid w:val="00171D62"/>
    <w:rsid w:val="00176D91"/>
    <w:rsid w:val="00190E77"/>
    <w:rsid w:val="001A62B6"/>
    <w:rsid w:val="001B70D6"/>
    <w:rsid w:val="001C0425"/>
    <w:rsid w:val="001C2479"/>
    <w:rsid w:val="001D6A2B"/>
    <w:rsid w:val="001E0C49"/>
    <w:rsid w:val="001E1844"/>
    <w:rsid w:val="001E646C"/>
    <w:rsid w:val="00201173"/>
    <w:rsid w:val="00201A3E"/>
    <w:rsid w:val="002049F0"/>
    <w:rsid w:val="00214308"/>
    <w:rsid w:val="00220CD4"/>
    <w:rsid w:val="002244DB"/>
    <w:rsid w:val="00231B74"/>
    <w:rsid w:val="00232AA7"/>
    <w:rsid w:val="00235E54"/>
    <w:rsid w:val="002508FB"/>
    <w:rsid w:val="00256206"/>
    <w:rsid w:val="00270754"/>
    <w:rsid w:val="002748E4"/>
    <w:rsid w:val="00274EC4"/>
    <w:rsid w:val="00281C8F"/>
    <w:rsid w:val="002834C1"/>
    <w:rsid w:val="00286BB7"/>
    <w:rsid w:val="00295D59"/>
    <w:rsid w:val="00296329"/>
    <w:rsid w:val="002A5091"/>
    <w:rsid w:val="002B10FE"/>
    <w:rsid w:val="002B11C5"/>
    <w:rsid w:val="002B3117"/>
    <w:rsid w:val="002B60AD"/>
    <w:rsid w:val="002C1574"/>
    <w:rsid w:val="002C2216"/>
    <w:rsid w:val="002D2683"/>
    <w:rsid w:val="002D3D4D"/>
    <w:rsid w:val="002E01E8"/>
    <w:rsid w:val="002E310E"/>
    <w:rsid w:val="002F0E9B"/>
    <w:rsid w:val="002F3DC3"/>
    <w:rsid w:val="002F6D09"/>
    <w:rsid w:val="003023B4"/>
    <w:rsid w:val="003115D9"/>
    <w:rsid w:val="00312599"/>
    <w:rsid w:val="00313D80"/>
    <w:rsid w:val="003300BD"/>
    <w:rsid w:val="003321F5"/>
    <w:rsid w:val="00350DA9"/>
    <w:rsid w:val="003634D9"/>
    <w:rsid w:val="00367164"/>
    <w:rsid w:val="00367BC5"/>
    <w:rsid w:val="003738EC"/>
    <w:rsid w:val="003920FD"/>
    <w:rsid w:val="003A5C52"/>
    <w:rsid w:val="003A7A1A"/>
    <w:rsid w:val="003B73B5"/>
    <w:rsid w:val="003C0210"/>
    <w:rsid w:val="003C1BB6"/>
    <w:rsid w:val="003C79BE"/>
    <w:rsid w:val="003D1345"/>
    <w:rsid w:val="003E5762"/>
    <w:rsid w:val="003F6FF5"/>
    <w:rsid w:val="00407FD7"/>
    <w:rsid w:val="00416ACC"/>
    <w:rsid w:val="00417FD3"/>
    <w:rsid w:val="00420C22"/>
    <w:rsid w:val="00443CD3"/>
    <w:rsid w:val="004621B8"/>
    <w:rsid w:val="0047063B"/>
    <w:rsid w:val="00471214"/>
    <w:rsid w:val="00476C7C"/>
    <w:rsid w:val="00487D44"/>
    <w:rsid w:val="004A1E33"/>
    <w:rsid w:val="004A3CE3"/>
    <w:rsid w:val="004A7611"/>
    <w:rsid w:val="004B24B8"/>
    <w:rsid w:val="004B5C40"/>
    <w:rsid w:val="004C02F0"/>
    <w:rsid w:val="004D69D0"/>
    <w:rsid w:val="004E1251"/>
    <w:rsid w:val="004E277B"/>
    <w:rsid w:val="004F30E3"/>
    <w:rsid w:val="004F4745"/>
    <w:rsid w:val="0050141D"/>
    <w:rsid w:val="00512A74"/>
    <w:rsid w:val="00512C6A"/>
    <w:rsid w:val="005150A0"/>
    <w:rsid w:val="005177B8"/>
    <w:rsid w:val="00521EF5"/>
    <w:rsid w:val="00522552"/>
    <w:rsid w:val="005257CF"/>
    <w:rsid w:val="005350D7"/>
    <w:rsid w:val="005360F2"/>
    <w:rsid w:val="005439DE"/>
    <w:rsid w:val="00544B2B"/>
    <w:rsid w:val="0055001B"/>
    <w:rsid w:val="005557CD"/>
    <w:rsid w:val="00556803"/>
    <w:rsid w:val="005730BF"/>
    <w:rsid w:val="005847EB"/>
    <w:rsid w:val="00586F8D"/>
    <w:rsid w:val="005872FA"/>
    <w:rsid w:val="00596F4D"/>
    <w:rsid w:val="005A2A44"/>
    <w:rsid w:val="005A2B49"/>
    <w:rsid w:val="005A2F78"/>
    <w:rsid w:val="005A7C6A"/>
    <w:rsid w:val="005B5A61"/>
    <w:rsid w:val="005C2E61"/>
    <w:rsid w:val="005C6E3E"/>
    <w:rsid w:val="005D42FB"/>
    <w:rsid w:val="005D44F5"/>
    <w:rsid w:val="005D525F"/>
    <w:rsid w:val="005D5671"/>
    <w:rsid w:val="005D6546"/>
    <w:rsid w:val="005E0B43"/>
    <w:rsid w:val="005E2F1F"/>
    <w:rsid w:val="005E6382"/>
    <w:rsid w:val="00601E21"/>
    <w:rsid w:val="00602B4A"/>
    <w:rsid w:val="0061198A"/>
    <w:rsid w:val="00612DF3"/>
    <w:rsid w:val="006228BB"/>
    <w:rsid w:val="00622EC2"/>
    <w:rsid w:val="00636220"/>
    <w:rsid w:val="006413FD"/>
    <w:rsid w:val="0064295B"/>
    <w:rsid w:val="00644175"/>
    <w:rsid w:val="00647C96"/>
    <w:rsid w:val="00651F82"/>
    <w:rsid w:val="00681FFD"/>
    <w:rsid w:val="00684EDE"/>
    <w:rsid w:val="0068633F"/>
    <w:rsid w:val="006A10B1"/>
    <w:rsid w:val="006C44B9"/>
    <w:rsid w:val="006D3837"/>
    <w:rsid w:val="006E7EA4"/>
    <w:rsid w:val="0070054F"/>
    <w:rsid w:val="00704280"/>
    <w:rsid w:val="007073C0"/>
    <w:rsid w:val="00711F3A"/>
    <w:rsid w:val="00715AF2"/>
    <w:rsid w:val="007342C0"/>
    <w:rsid w:val="00734FFD"/>
    <w:rsid w:val="0073580F"/>
    <w:rsid w:val="007423AF"/>
    <w:rsid w:val="00752AA3"/>
    <w:rsid w:val="00760230"/>
    <w:rsid w:val="00760CC3"/>
    <w:rsid w:val="0076259E"/>
    <w:rsid w:val="00773565"/>
    <w:rsid w:val="0078020F"/>
    <w:rsid w:val="007806B6"/>
    <w:rsid w:val="00782BC1"/>
    <w:rsid w:val="007862D8"/>
    <w:rsid w:val="0079475A"/>
    <w:rsid w:val="007A0517"/>
    <w:rsid w:val="007A1608"/>
    <w:rsid w:val="007A3707"/>
    <w:rsid w:val="007A7B03"/>
    <w:rsid w:val="007C2324"/>
    <w:rsid w:val="007C4AEC"/>
    <w:rsid w:val="007C569B"/>
    <w:rsid w:val="007C7B0B"/>
    <w:rsid w:val="007D5B1C"/>
    <w:rsid w:val="007E0681"/>
    <w:rsid w:val="007E0FAB"/>
    <w:rsid w:val="007E1CB5"/>
    <w:rsid w:val="007F1BA6"/>
    <w:rsid w:val="00802CBA"/>
    <w:rsid w:val="0081504A"/>
    <w:rsid w:val="0081750A"/>
    <w:rsid w:val="00820AE8"/>
    <w:rsid w:val="0083149C"/>
    <w:rsid w:val="00831EEB"/>
    <w:rsid w:val="008368A7"/>
    <w:rsid w:val="00847F25"/>
    <w:rsid w:val="0085064C"/>
    <w:rsid w:val="00860755"/>
    <w:rsid w:val="00872173"/>
    <w:rsid w:val="00882549"/>
    <w:rsid w:val="00883C9E"/>
    <w:rsid w:val="00887C60"/>
    <w:rsid w:val="00896B5C"/>
    <w:rsid w:val="00897737"/>
    <w:rsid w:val="008A3B6F"/>
    <w:rsid w:val="008B0E62"/>
    <w:rsid w:val="008B1DC9"/>
    <w:rsid w:val="008B71E5"/>
    <w:rsid w:val="008C7D73"/>
    <w:rsid w:val="008D4A7A"/>
    <w:rsid w:val="008E2078"/>
    <w:rsid w:val="008E24CE"/>
    <w:rsid w:val="008E44D4"/>
    <w:rsid w:val="008E5EA5"/>
    <w:rsid w:val="008F14BE"/>
    <w:rsid w:val="008F3299"/>
    <w:rsid w:val="009039E4"/>
    <w:rsid w:val="00910E4F"/>
    <w:rsid w:val="009226C0"/>
    <w:rsid w:val="0092500E"/>
    <w:rsid w:val="00925504"/>
    <w:rsid w:val="00931739"/>
    <w:rsid w:val="00940478"/>
    <w:rsid w:val="00943F54"/>
    <w:rsid w:val="00945BC6"/>
    <w:rsid w:val="00952E12"/>
    <w:rsid w:val="00954BF3"/>
    <w:rsid w:val="00955C3A"/>
    <w:rsid w:val="00961BCF"/>
    <w:rsid w:val="009721FC"/>
    <w:rsid w:val="0097533F"/>
    <w:rsid w:val="00980022"/>
    <w:rsid w:val="0098419D"/>
    <w:rsid w:val="00990126"/>
    <w:rsid w:val="00991E4A"/>
    <w:rsid w:val="00993784"/>
    <w:rsid w:val="009A0867"/>
    <w:rsid w:val="009A14B1"/>
    <w:rsid w:val="009A18F7"/>
    <w:rsid w:val="009A4AFD"/>
    <w:rsid w:val="009B1786"/>
    <w:rsid w:val="009B3948"/>
    <w:rsid w:val="009B685D"/>
    <w:rsid w:val="009C5C72"/>
    <w:rsid w:val="009C6EA2"/>
    <w:rsid w:val="009D236B"/>
    <w:rsid w:val="009E4C49"/>
    <w:rsid w:val="009E5A28"/>
    <w:rsid w:val="009F11D2"/>
    <w:rsid w:val="009F2191"/>
    <w:rsid w:val="00A0090E"/>
    <w:rsid w:val="00A04C26"/>
    <w:rsid w:val="00A15BAA"/>
    <w:rsid w:val="00A167E2"/>
    <w:rsid w:val="00A35C15"/>
    <w:rsid w:val="00A35EA7"/>
    <w:rsid w:val="00A43849"/>
    <w:rsid w:val="00A54A30"/>
    <w:rsid w:val="00A60072"/>
    <w:rsid w:val="00A63D93"/>
    <w:rsid w:val="00A7186F"/>
    <w:rsid w:val="00A74BA8"/>
    <w:rsid w:val="00A9323E"/>
    <w:rsid w:val="00AA28E7"/>
    <w:rsid w:val="00AA5D47"/>
    <w:rsid w:val="00AA6206"/>
    <w:rsid w:val="00AB33FF"/>
    <w:rsid w:val="00AC22A9"/>
    <w:rsid w:val="00AD35F8"/>
    <w:rsid w:val="00AF6F39"/>
    <w:rsid w:val="00B0460D"/>
    <w:rsid w:val="00B075EB"/>
    <w:rsid w:val="00B10267"/>
    <w:rsid w:val="00B1135E"/>
    <w:rsid w:val="00B142BA"/>
    <w:rsid w:val="00B25A4C"/>
    <w:rsid w:val="00B35612"/>
    <w:rsid w:val="00B454BB"/>
    <w:rsid w:val="00B50E2B"/>
    <w:rsid w:val="00B5667B"/>
    <w:rsid w:val="00B673D9"/>
    <w:rsid w:val="00B96DDB"/>
    <w:rsid w:val="00BA4AFB"/>
    <w:rsid w:val="00BA57D1"/>
    <w:rsid w:val="00BA7D62"/>
    <w:rsid w:val="00BB7FD1"/>
    <w:rsid w:val="00BC0564"/>
    <w:rsid w:val="00BC6FED"/>
    <w:rsid w:val="00BD409D"/>
    <w:rsid w:val="00BE2441"/>
    <w:rsid w:val="00BE46C7"/>
    <w:rsid w:val="00BF1DEB"/>
    <w:rsid w:val="00C04A83"/>
    <w:rsid w:val="00C11CFC"/>
    <w:rsid w:val="00C11F5F"/>
    <w:rsid w:val="00C12E18"/>
    <w:rsid w:val="00C23357"/>
    <w:rsid w:val="00C251C8"/>
    <w:rsid w:val="00C51AE1"/>
    <w:rsid w:val="00C64F51"/>
    <w:rsid w:val="00C70722"/>
    <w:rsid w:val="00C720AF"/>
    <w:rsid w:val="00C72BAA"/>
    <w:rsid w:val="00C87A93"/>
    <w:rsid w:val="00C92F07"/>
    <w:rsid w:val="00C933F0"/>
    <w:rsid w:val="00CA6021"/>
    <w:rsid w:val="00CA6FDA"/>
    <w:rsid w:val="00CB07D2"/>
    <w:rsid w:val="00CB14EA"/>
    <w:rsid w:val="00CB2EAA"/>
    <w:rsid w:val="00CB4769"/>
    <w:rsid w:val="00CC54B2"/>
    <w:rsid w:val="00CE0786"/>
    <w:rsid w:val="00D0232E"/>
    <w:rsid w:val="00D10251"/>
    <w:rsid w:val="00D11988"/>
    <w:rsid w:val="00D1256B"/>
    <w:rsid w:val="00D14956"/>
    <w:rsid w:val="00D24B8A"/>
    <w:rsid w:val="00D26028"/>
    <w:rsid w:val="00D349D1"/>
    <w:rsid w:val="00D44B00"/>
    <w:rsid w:val="00D52A56"/>
    <w:rsid w:val="00D57367"/>
    <w:rsid w:val="00D601E4"/>
    <w:rsid w:val="00D602B1"/>
    <w:rsid w:val="00D76872"/>
    <w:rsid w:val="00D768CB"/>
    <w:rsid w:val="00D770D0"/>
    <w:rsid w:val="00D80288"/>
    <w:rsid w:val="00D84562"/>
    <w:rsid w:val="00D866C9"/>
    <w:rsid w:val="00D90CD3"/>
    <w:rsid w:val="00DA2B25"/>
    <w:rsid w:val="00DA39C5"/>
    <w:rsid w:val="00DB65D1"/>
    <w:rsid w:val="00DC6C1C"/>
    <w:rsid w:val="00DD3DF7"/>
    <w:rsid w:val="00E01BCF"/>
    <w:rsid w:val="00E023AC"/>
    <w:rsid w:val="00E1394E"/>
    <w:rsid w:val="00E152CE"/>
    <w:rsid w:val="00E16E0B"/>
    <w:rsid w:val="00E17172"/>
    <w:rsid w:val="00E245F9"/>
    <w:rsid w:val="00E2643D"/>
    <w:rsid w:val="00E33F5D"/>
    <w:rsid w:val="00E37861"/>
    <w:rsid w:val="00E416BC"/>
    <w:rsid w:val="00E66637"/>
    <w:rsid w:val="00E84BDF"/>
    <w:rsid w:val="00E90F62"/>
    <w:rsid w:val="00E92DDA"/>
    <w:rsid w:val="00EA182B"/>
    <w:rsid w:val="00EA632A"/>
    <w:rsid w:val="00EB2747"/>
    <w:rsid w:val="00EB5434"/>
    <w:rsid w:val="00ED29B6"/>
    <w:rsid w:val="00EE69B7"/>
    <w:rsid w:val="00EF02A6"/>
    <w:rsid w:val="00EF0C00"/>
    <w:rsid w:val="00EF3D7E"/>
    <w:rsid w:val="00F22743"/>
    <w:rsid w:val="00F37B23"/>
    <w:rsid w:val="00F423B9"/>
    <w:rsid w:val="00F502A7"/>
    <w:rsid w:val="00F554D6"/>
    <w:rsid w:val="00F55D65"/>
    <w:rsid w:val="00F70E59"/>
    <w:rsid w:val="00F82DC0"/>
    <w:rsid w:val="00F913F8"/>
    <w:rsid w:val="00F9161C"/>
    <w:rsid w:val="00FA12CC"/>
    <w:rsid w:val="00FA31BD"/>
    <w:rsid w:val="00FB030E"/>
    <w:rsid w:val="00FB08B1"/>
    <w:rsid w:val="00FB3CBE"/>
    <w:rsid w:val="00FB6DEB"/>
    <w:rsid w:val="00FC0A9D"/>
    <w:rsid w:val="00FC42CF"/>
    <w:rsid w:val="00FC4329"/>
    <w:rsid w:val="00FC4C98"/>
    <w:rsid w:val="00FC6180"/>
    <w:rsid w:val="00FD1203"/>
    <w:rsid w:val="00FD3A04"/>
    <w:rsid w:val="00FD6F21"/>
    <w:rsid w:val="00FE562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 w:type="character" w:customStyle="1" w:styleId="default">
    <w:name w:val="default"/>
    <w:rsid w:val="00367BC5"/>
    <w:rPr>
      <w:rFonts w:ascii="Times New Roman" w:hAnsi="Times New Roman" w:cs="Times New Roman" w:hint="default"/>
      <w:sz w:val="26"/>
      <w:szCs w:val="26"/>
    </w:rPr>
  </w:style>
  <w:style w:type="character" w:customStyle="1" w:styleId="apple-converted-space">
    <w:name w:val="apple-converted-space"/>
    <w:basedOn w:val="a0"/>
    <w:rsid w:val="005177B8"/>
  </w:style>
  <w:style w:type="paragraph" w:customStyle="1" w:styleId="big-header">
    <w:name w:val="big-header"/>
    <w:basedOn w:val="a"/>
    <w:rsid w:val="00035D76"/>
    <w:pPr>
      <w:keepNext/>
      <w:keepLines/>
      <w:widowControl w:val="0"/>
      <w:tabs>
        <w:tab w:val="left" w:pos="624"/>
        <w:tab w:val="left" w:pos="1021"/>
        <w:tab w:val="left" w:pos="1474"/>
        <w:tab w:val="left" w:pos="1928"/>
        <w:tab w:val="left" w:pos="2381"/>
        <w:tab w:val="left" w:pos="2835"/>
      </w:tabs>
      <w:autoSpaceDE w:val="0"/>
      <w:autoSpaceDN w:val="0"/>
      <w:bidi/>
      <w:spacing w:before="440" w:after="120" w:line="240" w:lineRule="auto"/>
      <w:ind w:left="2835"/>
      <w:jc w:val="center"/>
    </w:pPr>
    <w:rPr>
      <w:rFonts w:ascii="Times New Roman" w:eastAsia="Times New Roman" w:hAnsi="Times New Roman" w:cs="Times New Roman"/>
      <w:noProof/>
      <w:kern w:val="0"/>
      <w:sz w:val="2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 w:type="character" w:customStyle="1" w:styleId="default">
    <w:name w:val="default"/>
    <w:rsid w:val="00367BC5"/>
    <w:rPr>
      <w:rFonts w:ascii="Times New Roman" w:hAnsi="Times New Roman" w:cs="Times New Roman" w:hint="default"/>
      <w:sz w:val="26"/>
      <w:szCs w:val="26"/>
    </w:rPr>
  </w:style>
  <w:style w:type="character" w:customStyle="1" w:styleId="apple-converted-space">
    <w:name w:val="apple-converted-space"/>
    <w:basedOn w:val="a0"/>
    <w:rsid w:val="005177B8"/>
  </w:style>
  <w:style w:type="paragraph" w:customStyle="1" w:styleId="big-header">
    <w:name w:val="big-header"/>
    <w:basedOn w:val="a"/>
    <w:rsid w:val="00035D76"/>
    <w:pPr>
      <w:keepNext/>
      <w:keepLines/>
      <w:widowControl w:val="0"/>
      <w:tabs>
        <w:tab w:val="left" w:pos="624"/>
        <w:tab w:val="left" w:pos="1021"/>
        <w:tab w:val="left" w:pos="1474"/>
        <w:tab w:val="left" w:pos="1928"/>
        <w:tab w:val="left" w:pos="2381"/>
        <w:tab w:val="left" w:pos="2835"/>
      </w:tabs>
      <w:autoSpaceDE w:val="0"/>
      <w:autoSpaceDN w:val="0"/>
      <w:bidi/>
      <w:spacing w:before="440" w:after="120" w:line="240" w:lineRule="auto"/>
      <w:ind w:left="2835"/>
      <w:jc w:val="center"/>
    </w:pPr>
    <w:rPr>
      <w:rFonts w:ascii="Times New Roman" w:eastAsia="Times New Roman" w:hAnsi="Times New Roman" w:cs="Times New Roman"/>
      <w:noProof/>
      <w:kern w:val="0"/>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3668">
      <w:bodyDiv w:val="1"/>
      <w:marLeft w:val="0"/>
      <w:marRight w:val="0"/>
      <w:marTop w:val="0"/>
      <w:marBottom w:val="0"/>
      <w:divBdr>
        <w:top w:val="none" w:sz="0" w:space="0" w:color="auto"/>
        <w:left w:val="none" w:sz="0" w:space="0" w:color="auto"/>
        <w:bottom w:val="none" w:sz="0" w:space="0" w:color="auto"/>
        <w:right w:val="none" w:sz="0" w:space="0" w:color="auto"/>
      </w:divBdr>
    </w:div>
    <w:div w:id="724109316">
      <w:bodyDiv w:val="1"/>
      <w:marLeft w:val="0"/>
      <w:marRight w:val="0"/>
      <w:marTop w:val="0"/>
      <w:marBottom w:val="0"/>
      <w:divBdr>
        <w:top w:val="none" w:sz="0" w:space="0" w:color="auto"/>
        <w:left w:val="none" w:sz="0" w:space="0" w:color="auto"/>
        <w:bottom w:val="none" w:sz="0" w:space="0" w:color="auto"/>
        <w:right w:val="none" w:sz="0" w:space="0" w:color="auto"/>
      </w:divBdr>
    </w:div>
    <w:div w:id="80806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nevo.co.il/case/17916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2A421-0136-4C78-A62B-0ADE45A7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2748</Words>
  <Characters>13741</Characters>
  <Application>Microsoft Office Word</Application>
  <DocSecurity>0</DocSecurity>
  <Lines>114</Lines>
  <Paragraphs>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בס"ד</vt:lpstr>
      <vt:lpstr>בס"ד</vt:lpstr>
    </vt:vector>
  </TitlesOfParts>
  <Company/>
  <LinksUpToDate>false</LinksUpToDate>
  <CharactersWithSpaces>16457</CharactersWithSpaces>
  <SharedDoc>false</SharedDoc>
  <HLinks>
    <vt:vector size="6" baseType="variant">
      <vt:variant>
        <vt:i4>92341759</vt:i4>
      </vt:variant>
      <vt:variant>
        <vt:i4>0</vt:i4>
      </vt:variant>
      <vt:variant>
        <vt:i4>0</vt:i4>
      </vt:variant>
      <vt:variant>
        <vt:i4>5</vt:i4>
      </vt:variant>
      <vt:variant>
        <vt:lpwstr>http://www.takdin.co.il/searchg/ID_עא@1003~~05.html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Shalom</dc:creator>
  <cp:lastModifiedBy>REUT-ARZI</cp:lastModifiedBy>
  <cp:revision>2</cp:revision>
  <cp:lastPrinted>2019-03-26T07:40:00Z</cp:lastPrinted>
  <dcterms:created xsi:type="dcterms:W3CDTF">2019-04-18T05:21:00Z</dcterms:created>
  <dcterms:modified xsi:type="dcterms:W3CDTF">2019-04-18T05:21:00Z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PC-2</vt:lpwstr>
  </property>
  <property fmtid="{D5CDD505-2E9C-101B-9397-08002B2CF9AE}" pid="5" name="DocCounter">
    <vt:lpwstr>20933</vt:lpwstr>
  </property>
</Properties>
</file>